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4A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</w:p>
    <w:p w:rsidR="00141A1D" w:rsidRPr="0087453E" w:rsidRDefault="00141A1D" w:rsidP="00141A1D">
      <w:pPr>
        <w:jc w:val="center"/>
        <w:rPr>
          <w:rFonts w:ascii="Arial" w:hAnsi="Arial" w:cs="Arial"/>
          <w:b/>
          <w:sz w:val="48"/>
          <w:szCs w:val="48"/>
        </w:rPr>
      </w:pPr>
      <w:r w:rsidRPr="0087453E">
        <w:rPr>
          <w:rFonts w:ascii="Arial" w:hAnsi="Arial" w:cs="Arial"/>
          <w:b/>
          <w:sz w:val="48"/>
          <w:szCs w:val="48"/>
        </w:rPr>
        <w:t>70 let poté.</w:t>
      </w:r>
    </w:p>
    <w:p w:rsidR="00141A1D" w:rsidRPr="00141A1D" w:rsidRDefault="00141A1D" w:rsidP="00141A1D">
      <w:pPr>
        <w:jc w:val="center"/>
        <w:rPr>
          <w:rFonts w:ascii="Arial" w:hAnsi="Arial" w:cs="Arial"/>
          <w:b/>
          <w:sz w:val="36"/>
          <w:szCs w:val="36"/>
        </w:rPr>
      </w:pPr>
    </w:p>
    <w:p w:rsidR="00141A1D" w:rsidRPr="0087453E" w:rsidRDefault="00141A1D" w:rsidP="00141A1D">
      <w:pPr>
        <w:jc w:val="center"/>
        <w:rPr>
          <w:b/>
          <w:sz w:val="28"/>
          <w:szCs w:val="28"/>
        </w:rPr>
      </w:pPr>
      <w:r w:rsidRPr="0087453E">
        <w:rPr>
          <w:b/>
          <w:sz w:val="28"/>
          <w:szCs w:val="28"/>
        </w:rPr>
        <w:t xml:space="preserve"> Připomínka nacistických lékařských válečných zločinů.</w:t>
      </w:r>
    </w:p>
    <w:p w:rsidR="00ED654A" w:rsidRPr="00ED654A" w:rsidRDefault="00ED654A" w:rsidP="00ED654A">
      <w:pPr>
        <w:jc w:val="center"/>
        <w:rPr>
          <w:rFonts w:ascii="Arial" w:hAnsi="Arial" w:cs="Arial"/>
          <w:b/>
          <w:sz w:val="36"/>
          <w:szCs w:val="36"/>
        </w:rPr>
      </w:pPr>
    </w:p>
    <w:p w:rsidR="00141A1D" w:rsidRPr="00116486" w:rsidRDefault="00F42B9A" w:rsidP="00141A1D">
      <w:pPr>
        <w:spacing w:before="100" w:beforeAutospacing="1" w:after="100" w:afterAutospacing="1" w:line="360" w:lineRule="auto"/>
        <w:jc w:val="both"/>
        <w:rPr>
          <w:b/>
        </w:rPr>
      </w:pPr>
      <w:r>
        <w:rPr>
          <w:b/>
        </w:rPr>
        <w:t xml:space="preserve">V Národním </w:t>
      </w:r>
      <w:r w:rsidR="006B3442">
        <w:rPr>
          <w:b/>
        </w:rPr>
        <w:t xml:space="preserve">technickém muzeu byla otevřena </w:t>
      </w:r>
      <w:r>
        <w:rPr>
          <w:b/>
        </w:rPr>
        <w:t>výstava</w:t>
      </w:r>
      <w:r w:rsidR="002D6B3B" w:rsidRPr="00116486">
        <w:rPr>
          <w:b/>
        </w:rPr>
        <w:t xml:space="preserve">, která připomíná </w:t>
      </w:r>
      <w:r w:rsidR="00141A1D" w:rsidRPr="00116486">
        <w:rPr>
          <w:b/>
        </w:rPr>
        <w:t>70. výročí zahájení následného proce</w:t>
      </w:r>
      <w:r w:rsidR="002D6B3B" w:rsidRPr="00116486">
        <w:rPr>
          <w:b/>
        </w:rPr>
        <w:t xml:space="preserve">su s nacistickými lékaři </w:t>
      </w:r>
      <w:r w:rsidR="00141A1D" w:rsidRPr="00116486">
        <w:rPr>
          <w:b/>
        </w:rPr>
        <w:t>v</w:t>
      </w:r>
      <w:r w:rsidR="002D6B3B" w:rsidRPr="00116486">
        <w:rPr>
          <w:b/>
        </w:rPr>
        <w:t> </w:t>
      </w:r>
      <w:r w:rsidR="00141A1D" w:rsidRPr="00116486">
        <w:rPr>
          <w:b/>
        </w:rPr>
        <w:t>Norimberku</w:t>
      </w:r>
      <w:r w:rsidR="002D6B3B" w:rsidRPr="00116486">
        <w:rPr>
          <w:b/>
        </w:rPr>
        <w:t xml:space="preserve"> v roce 1946. </w:t>
      </w:r>
      <w:r w:rsidR="000E2355">
        <w:rPr>
          <w:b/>
        </w:rPr>
        <w:t>Výstava</w:t>
      </w:r>
      <w:r w:rsidR="002D6B3B" w:rsidRPr="00116486">
        <w:rPr>
          <w:b/>
        </w:rPr>
        <w:t xml:space="preserve"> je věnována </w:t>
      </w:r>
      <w:r w:rsidR="00141A1D" w:rsidRPr="00116486">
        <w:rPr>
          <w:b/>
        </w:rPr>
        <w:t xml:space="preserve">prvnímu vyšetřování, dokumentaci a reflexi nacistických lékařských válečných zločinů.  </w:t>
      </w:r>
    </w:p>
    <w:p w:rsidR="002D6B3B" w:rsidRDefault="00141A1D" w:rsidP="00141A1D">
      <w:pPr>
        <w:spacing w:before="100" w:beforeAutospacing="1" w:after="100" w:afterAutospacing="1" w:line="360" w:lineRule="auto"/>
        <w:jc w:val="both"/>
      </w:pPr>
      <w:r>
        <w:t xml:space="preserve">Výstava „70 let poté“ je rozdělena do tří částí. První </w:t>
      </w:r>
      <w:r w:rsidR="002D6B3B">
        <w:t xml:space="preserve">část </w:t>
      </w:r>
      <w:r>
        <w:t>přibližuje zločiny nacistického masového vyhlazovacího programu „eutanázie“</w:t>
      </w:r>
      <w:r w:rsidR="002D6B3B">
        <w:t xml:space="preserve">, </w:t>
      </w:r>
      <w:r w:rsidR="00116486">
        <w:t>který vedl v letech 1939–1941 k</w:t>
      </w:r>
      <w:r w:rsidR="00B31F42">
        <w:t xml:space="preserve"> vraždění duševně nemocných </w:t>
      </w:r>
      <w:r w:rsidR="001A7E29">
        <w:t xml:space="preserve">a postižených </w:t>
      </w:r>
      <w:r w:rsidR="00B31F42">
        <w:t>ú</w:t>
      </w:r>
      <w:r w:rsidR="00116486">
        <w:t>stavních pacientů.</w:t>
      </w:r>
    </w:p>
    <w:p w:rsidR="002D6B3B" w:rsidRDefault="00141A1D" w:rsidP="00141A1D">
      <w:pPr>
        <w:spacing w:before="100" w:beforeAutospacing="1" w:after="100" w:afterAutospacing="1" w:line="360" w:lineRule="auto"/>
        <w:jc w:val="both"/>
      </w:pPr>
      <w:r>
        <w:t>V druhé části je pojednán</w:t>
      </w:r>
      <w:r w:rsidR="0028028C">
        <w:t>a</w:t>
      </w:r>
      <w:r>
        <w:t xml:space="preserve"> </w:t>
      </w:r>
      <w:r w:rsidR="0028028C">
        <w:t>„</w:t>
      </w:r>
      <w:r>
        <w:t>akce Reinhard</w:t>
      </w:r>
      <w:r w:rsidR="0028028C">
        <w:t>“</w:t>
      </w:r>
      <w:r w:rsidR="00116486">
        <w:t xml:space="preserve"> z doby </w:t>
      </w:r>
      <w:r w:rsidR="0028028C">
        <w:t>přechod</w:t>
      </w:r>
      <w:r w:rsidR="00116486">
        <w:t>u</w:t>
      </w:r>
      <w:r w:rsidR="0028028C">
        <w:t xml:space="preserve"> k holocaustu, </w:t>
      </w:r>
      <w:r w:rsidR="00DC6998">
        <w:t>při níž</w:t>
      </w:r>
      <w:r>
        <w:t xml:space="preserve"> bylo využito personálu a zkušeností programu „eutanázie“. Následně jsou zmíněny některé experimenty nacistických lékařů na vězních koncent</w:t>
      </w:r>
      <w:r w:rsidR="00020393">
        <w:t>račních či vyhlazovacích táborů</w:t>
      </w:r>
      <w:r>
        <w:t xml:space="preserve"> jako např. Horsta </w:t>
      </w:r>
      <w:proofErr w:type="spellStart"/>
      <w:r>
        <w:t>Schumanna</w:t>
      </w:r>
      <w:proofErr w:type="spellEnd"/>
      <w:r>
        <w:t xml:space="preserve">, Siegfrieda </w:t>
      </w:r>
      <w:proofErr w:type="spellStart"/>
      <w:r>
        <w:t>Raschera</w:t>
      </w:r>
      <w:proofErr w:type="spellEnd"/>
      <w:r>
        <w:t xml:space="preserve"> či Josefa </w:t>
      </w:r>
      <w:proofErr w:type="spellStart"/>
      <w:r>
        <w:t>Mengeleho</w:t>
      </w:r>
      <w:proofErr w:type="spellEnd"/>
      <w:r>
        <w:t xml:space="preserve">. Přiblížen je také kontext pokusů se sulfonamidy v koncentračním táboře </w:t>
      </w:r>
      <w:proofErr w:type="spellStart"/>
      <w:r>
        <w:t>Ravensbrück</w:t>
      </w:r>
      <w:proofErr w:type="spellEnd"/>
      <w:r>
        <w:t>, který měl přímou návaznost na atentát na R</w:t>
      </w:r>
      <w:r w:rsidR="00DC66DB">
        <w:t xml:space="preserve">einharda </w:t>
      </w:r>
      <w:r>
        <w:t xml:space="preserve">Heydricha a jeho operaci v Praze. </w:t>
      </w:r>
    </w:p>
    <w:p w:rsidR="00DC6998" w:rsidRDefault="00141A1D" w:rsidP="00141A1D">
      <w:pPr>
        <w:spacing w:before="100" w:beforeAutospacing="1" w:after="100" w:afterAutospacing="1" w:line="360" w:lineRule="auto"/>
        <w:jc w:val="both"/>
      </w:pPr>
      <w:r>
        <w:t>Třetí část v</w:t>
      </w:r>
      <w:r w:rsidR="006C24AB">
        <w:t xml:space="preserve">ýstavy přibližuje </w:t>
      </w:r>
      <w:r>
        <w:t>poválečnou snahu vyšetřit lékařsky motivované zločiny a</w:t>
      </w:r>
      <w:r w:rsidR="00020393">
        <w:t> </w:t>
      </w:r>
      <w:r>
        <w:t>potrestat hlavní pachatele a představitele německé zdravotní politiky během lékařského následného procesu v Norimberku. Následuje připomenu</w:t>
      </w:r>
      <w:r w:rsidR="003F5535">
        <w:t>tí československého vyšetřování</w:t>
      </w:r>
      <w:r>
        <w:t xml:space="preserve"> </w:t>
      </w:r>
      <w:r w:rsidR="003F5535">
        <w:t xml:space="preserve">a </w:t>
      </w:r>
      <w:r>
        <w:t>úloha českých lékařů jako svědků</w:t>
      </w:r>
      <w:r w:rsidR="00DC6998">
        <w:t>. Stejně tak jsou naznačeny</w:t>
      </w:r>
      <w:r>
        <w:t xml:space="preserve"> limity československého vyšetřování, které nezahrnulo lékaře SS v koncentračních táborech, kteří pocházeli z tzv. sudetoněmeckých oblastí. Na závěr je tematizován norimberský kodex, který je jedním ze základních lidskoprávních dokumentů a fundamentů současné lékařské etiky. </w:t>
      </w:r>
    </w:p>
    <w:p w:rsidR="00141A1D" w:rsidRDefault="00141A1D" w:rsidP="00141A1D">
      <w:pPr>
        <w:spacing w:before="100" w:beforeAutospacing="1" w:after="100" w:afterAutospacing="1" w:line="360" w:lineRule="auto"/>
        <w:jc w:val="both"/>
      </w:pPr>
      <w:r>
        <w:t xml:space="preserve">Výstavu doprovází dobové publikace a několik uměleckých děl amerických autorů, která se inspirovala nacistickými lékařskými zločiny. </w:t>
      </w:r>
    </w:p>
    <w:p w:rsidR="00B31F42" w:rsidRPr="00116486" w:rsidRDefault="00B31F42" w:rsidP="00B31F42">
      <w:pPr>
        <w:spacing w:before="100" w:beforeAutospacing="1" w:after="100" w:afterAutospacing="1" w:line="360" w:lineRule="auto"/>
        <w:jc w:val="both"/>
        <w:rPr>
          <w:b/>
        </w:rPr>
      </w:pPr>
      <w:r w:rsidRPr="00116486">
        <w:rPr>
          <w:b/>
        </w:rPr>
        <w:t>Výstavu připravil v rámci Strategie 21 Akademie věd České republiky a ve spolupráci s </w:t>
      </w:r>
      <w:proofErr w:type="gramStart"/>
      <w:r w:rsidRPr="00116486">
        <w:rPr>
          <w:b/>
        </w:rPr>
        <w:t>Centre</w:t>
      </w:r>
      <w:proofErr w:type="gram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for</w:t>
      </w:r>
      <w:proofErr w:type="spell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Medicine</w:t>
      </w:r>
      <w:proofErr w:type="spell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After</w:t>
      </w:r>
      <w:proofErr w:type="spell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the</w:t>
      </w:r>
      <w:proofErr w:type="spellEnd"/>
      <w:r w:rsidRPr="00116486">
        <w:rPr>
          <w:b/>
        </w:rPr>
        <w:t xml:space="preserve"> Holocaust, Houston, </w:t>
      </w:r>
      <w:proofErr w:type="spellStart"/>
      <w:r w:rsidRPr="00116486">
        <w:rPr>
          <w:b/>
        </w:rPr>
        <w:t>Claims</w:t>
      </w:r>
      <w:proofErr w:type="spell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Conference</w:t>
      </w:r>
      <w:proofErr w:type="spellEnd"/>
      <w:r w:rsidRPr="00116486">
        <w:rPr>
          <w:b/>
        </w:rPr>
        <w:t xml:space="preserve"> a International </w:t>
      </w:r>
      <w:r w:rsidRPr="00116486">
        <w:rPr>
          <w:b/>
        </w:rPr>
        <w:lastRenderedPageBreak/>
        <w:t xml:space="preserve">Holocaust </w:t>
      </w:r>
      <w:proofErr w:type="spellStart"/>
      <w:r w:rsidRPr="00116486">
        <w:rPr>
          <w:b/>
        </w:rPr>
        <w:t>Remembrance</w:t>
      </w:r>
      <w:proofErr w:type="spellEnd"/>
      <w:r w:rsidRPr="00116486">
        <w:rPr>
          <w:b/>
        </w:rPr>
        <w:t xml:space="preserve"> </w:t>
      </w:r>
      <w:proofErr w:type="spellStart"/>
      <w:r w:rsidRPr="00116486">
        <w:rPr>
          <w:b/>
        </w:rPr>
        <w:t>Alliance</w:t>
      </w:r>
      <w:proofErr w:type="spellEnd"/>
      <w:r w:rsidRPr="00116486">
        <w:rPr>
          <w:b/>
        </w:rPr>
        <w:t xml:space="preserve"> a s Národním technickým muzeem Ústav pro soudobé dějiny </w:t>
      </w:r>
      <w:proofErr w:type="spellStart"/>
      <w:r w:rsidRPr="00116486">
        <w:rPr>
          <w:b/>
        </w:rPr>
        <w:t>v.v.i</w:t>
      </w:r>
      <w:proofErr w:type="spellEnd"/>
      <w:r w:rsidRPr="00116486">
        <w:rPr>
          <w:b/>
        </w:rPr>
        <w:t>.</w:t>
      </w:r>
    </w:p>
    <w:p w:rsidR="003E1012" w:rsidRPr="00A3123E" w:rsidRDefault="00141A1D" w:rsidP="00A3123E">
      <w:pPr>
        <w:spacing w:before="100" w:beforeAutospacing="1" w:after="100" w:afterAutospacing="1" w:line="360" w:lineRule="auto"/>
        <w:jc w:val="both"/>
      </w:pPr>
      <w:r>
        <w:t xml:space="preserve">Výstava je umístěna ve foyer 1. patra Národního technického muzea a potrvá od 27. dubna do 31. července 2016.      </w:t>
      </w:r>
    </w:p>
    <w:p w:rsidR="006B3442" w:rsidRDefault="000169AB" w:rsidP="008D062D">
      <w:pPr>
        <w:pStyle w:val="Default"/>
        <w:jc w:val="center"/>
      </w:pPr>
      <w:r>
        <w:rPr>
          <w:i/>
          <w:noProof/>
          <w:lang w:eastAsia="cs-CZ"/>
        </w:rPr>
        <w:drawing>
          <wp:inline distT="0" distB="0" distL="0" distR="0">
            <wp:extent cx="3976553" cy="2855343"/>
            <wp:effectExtent l="0" t="0" r="5080" b="2540"/>
            <wp:docPr id="3" name="Obrázek 3" descr="C:\Users\tklick\Desktop\archiv výstav NTM\70 let poté\norimberk_č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lick\Desktop\archiv výstav NTM\70 let poté\norimberk_č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600" cy="2858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123E">
        <w:rPr>
          <w:i/>
        </w:rPr>
        <w:br/>
      </w:r>
      <w:r w:rsidR="00A3123E" w:rsidRPr="008D062D">
        <w:rPr>
          <w:rFonts w:ascii="Times New Roman" w:hAnsi="Times New Roman" w:cs="Times New Roman"/>
          <w:i/>
          <w:color w:val="auto"/>
          <w:lang w:eastAsia="cs-CZ"/>
        </w:rPr>
        <w:t>Pohled na lavici obžalovaných při lékařském následném procesu, 1946</w:t>
      </w:r>
    </w:p>
    <w:p w:rsidR="00A3123E" w:rsidRDefault="00A3123E" w:rsidP="00A3123E">
      <w:pPr>
        <w:jc w:val="center"/>
        <w:rPr>
          <w:rFonts w:eastAsiaTheme="minorHAnsi"/>
        </w:rPr>
      </w:pPr>
    </w:p>
    <w:p w:rsidR="00A3123E" w:rsidRPr="00A3123E" w:rsidRDefault="000169AB" w:rsidP="00A3123E">
      <w:pPr>
        <w:jc w:val="center"/>
      </w:pPr>
      <w:r>
        <w:rPr>
          <w:noProof/>
        </w:rPr>
        <w:drawing>
          <wp:inline distT="0" distB="0" distL="0" distR="0">
            <wp:extent cx="4037162" cy="2587501"/>
            <wp:effectExtent l="0" t="0" r="1905" b="3810"/>
            <wp:docPr id="4" name="Obrázek 4" descr="C:\Users\tklick\Desktop\archiv výstav NTM\70 let poté\norimberk_č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klick\Desktop\archiv výstav NTM\70 let poté\norimberk_č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756" cy="25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442" w:rsidRPr="008D062D" w:rsidRDefault="00B704C7" w:rsidP="008D062D">
      <w:pPr>
        <w:jc w:val="center"/>
        <w:rPr>
          <w:i/>
        </w:rPr>
      </w:pPr>
      <w:r w:rsidRPr="008D062D">
        <w:rPr>
          <w:rFonts w:eastAsiaTheme="minorHAnsi"/>
          <w:i/>
        </w:rPr>
        <w:t>Letecký snímek soudní budovy, v níž se konal proces, 1946</w:t>
      </w:r>
    </w:p>
    <w:p w:rsidR="003E1012" w:rsidRDefault="003E1012" w:rsidP="00490092">
      <w:pPr>
        <w:spacing w:line="276" w:lineRule="auto"/>
        <w:rPr>
          <w:sz w:val="20"/>
          <w:szCs w:val="20"/>
        </w:rPr>
      </w:pP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bookmarkStart w:id="0" w:name="_GoBack"/>
      <w:bookmarkEnd w:id="0"/>
      <w:r w:rsidRPr="00E23F73">
        <w:rPr>
          <w:sz w:val="20"/>
          <w:szCs w:val="20"/>
        </w:rPr>
        <w:t>Mgr. Adam Dušek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Vedoucí oddělení PR a práce s veřejností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 xml:space="preserve">Email: </w:t>
      </w:r>
      <w:hyperlink r:id="rId9" w:history="1">
        <w:r w:rsidRPr="00E23F73">
          <w:rPr>
            <w:sz w:val="20"/>
            <w:szCs w:val="20"/>
          </w:rPr>
          <w:t>adam.dusek@ntm.cz</w:t>
        </w:r>
      </w:hyperlink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Mob: +420 774 426 828</w:t>
      </w:r>
    </w:p>
    <w:p w:rsidR="00C14D44" w:rsidRPr="00E23F73" w:rsidRDefault="00C14D44" w:rsidP="00490092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Národní technické muzeum</w:t>
      </w:r>
    </w:p>
    <w:p w:rsidR="00ED654A" w:rsidRPr="008D062D" w:rsidRDefault="00C14D44" w:rsidP="008D062D">
      <w:pPr>
        <w:spacing w:line="276" w:lineRule="auto"/>
        <w:rPr>
          <w:sz w:val="20"/>
          <w:szCs w:val="20"/>
        </w:rPr>
      </w:pPr>
      <w:r w:rsidRPr="00E23F73">
        <w:rPr>
          <w:sz w:val="20"/>
          <w:szCs w:val="20"/>
        </w:rPr>
        <w:t>Kostelní 42, 170 78, Praha 7</w:t>
      </w:r>
    </w:p>
    <w:sectPr w:rsidR="00ED654A" w:rsidRPr="008D062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64" w:rsidRDefault="00403964" w:rsidP="00315F90">
      <w:r>
        <w:separator/>
      </w:r>
    </w:p>
  </w:endnote>
  <w:endnote w:type="continuationSeparator" w:id="0">
    <w:p w:rsidR="00403964" w:rsidRDefault="00403964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ynaGrotesk LE">
    <w:charset w:val="00"/>
    <w:family w:val="auto"/>
    <w:pitch w:val="default"/>
  </w:font>
  <w:font w:name="Franklin Gothic Book">
    <w:altName w:val="Franklin Gothic Book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64" w:rsidRDefault="00403964" w:rsidP="00315F90">
      <w:r>
        <w:separator/>
      </w:r>
    </w:p>
  </w:footnote>
  <w:footnote w:type="continuationSeparator" w:id="0">
    <w:p w:rsidR="00403964" w:rsidRDefault="00403964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0AA3"/>
    <w:rsid w:val="00004AD4"/>
    <w:rsid w:val="00004BBF"/>
    <w:rsid w:val="000078F5"/>
    <w:rsid w:val="000169AB"/>
    <w:rsid w:val="00020393"/>
    <w:rsid w:val="00024162"/>
    <w:rsid w:val="00034C5A"/>
    <w:rsid w:val="00040749"/>
    <w:rsid w:val="00043E09"/>
    <w:rsid w:val="0005326F"/>
    <w:rsid w:val="000861AF"/>
    <w:rsid w:val="00091096"/>
    <w:rsid w:val="00091AA7"/>
    <w:rsid w:val="00091B13"/>
    <w:rsid w:val="000D48D2"/>
    <w:rsid w:val="000E2355"/>
    <w:rsid w:val="00116486"/>
    <w:rsid w:val="00141A1D"/>
    <w:rsid w:val="001455A5"/>
    <w:rsid w:val="001578F9"/>
    <w:rsid w:val="001830EA"/>
    <w:rsid w:val="001A0960"/>
    <w:rsid w:val="001A4D7A"/>
    <w:rsid w:val="001A7E29"/>
    <w:rsid w:val="001E00A7"/>
    <w:rsid w:val="001E26FB"/>
    <w:rsid w:val="001E34D2"/>
    <w:rsid w:val="00205379"/>
    <w:rsid w:val="0022552F"/>
    <w:rsid w:val="00240DA5"/>
    <w:rsid w:val="0024145A"/>
    <w:rsid w:val="002566BF"/>
    <w:rsid w:val="002574C0"/>
    <w:rsid w:val="002576CD"/>
    <w:rsid w:val="00270581"/>
    <w:rsid w:val="0028028C"/>
    <w:rsid w:val="0029269B"/>
    <w:rsid w:val="002B0F5E"/>
    <w:rsid w:val="002D6B3B"/>
    <w:rsid w:val="0030334A"/>
    <w:rsid w:val="003123B1"/>
    <w:rsid w:val="00315F90"/>
    <w:rsid w:val="0036702A"/>
    <w:rsid w:val="00384198"/>
    <w:rsid w:val="003A68A6"/>
    <w:rsid w:val="003D17E4"/>
    <w:rsid w:val="003D61E6"/>
    <w:rsid w:val="003E1012"/>
    <w:rsid w:val="003E73D8"/>
    <w:rsid w:val="003F5535"/>
    <w:rsid w:val="00403964"/>
    <w:rsid w:val="004039D5"/>
    <w:rsid w:val="00413105"/>
    <w:rsid w:val="00433970"/>
    <w:rsid w:val="00467664"/>
    <w:rsid w:val="00472012"/>
    <w:rsid w:val="00481B72"/>
    <w:rsid w:val="00490092"/>
    <w:rsid w:val="004A0D53"/>
    <w:rsid w:val="004B3C55"/>
    <w:rsid w:val="004D1C92"/>
    <w:rsid w:val="004F031B"/>
    <w:rsid w:val="00534CBF"/>
    <w:rsid w:val="00537990"/>
    <w:rsid w:val="00573993"/>
    <w:rsid w:val="00575F1C"/>
    <w:rsid w:val="00583CD0"/>
    <w:rsid w:val="0059384F"/>
    <w:rsid w:val="005A1213"/>
    <w:rsid w:val="005B683F"/>
    <w:rsid w:val="00601028"/>
    <w:rsid w:val="006311F5"/>
    <w:rsid w:val="00667F3A"/>
    <w:rsid w:val="00692056"/>
    <w:rsid w:val="006A70D1"/>
    <w:rsid w:val="006B030B"/>
    <w:rsid w:val="006B3442"/>
    <w:rsid w:val="006B482D"/>
    <w:rsid w:val="006C24AB"/>
    <w:rsid w:val="006E5983"/>
    <w:rsid w:val="0070288D"/>
    <w:rsid w:val="00724E2E"/>
    <w:rsid w:val="00731873"/>
    <w:rsid w:val="00740C34"/>
    <w:rsid w:val="007640B9"/>
    <w:rsid w:val="0078597C"/>
    <w:rsid w:val="007961EE"/>
    <w:rsid w:val="007C5B27"/>
    <w:rsid w:val="007D1963"/>
    <w:rsid w:val="007F0A17"/>
    <w:rsid w:val="007F6B62"/>
    <w:rsid w:val="00830A07"/>
    <w:rsid w:val="00841895"/>
    <w:rsid w:val="008425C6"/>
    <w:rsid w:val="008508ED"/>
    <w:rsid w:val="0086170C"/>
    <w:rsid w:val="008651DD"/>
    <w:rsid w:val="0087453E"/>
    <w:rsid w:val="008B1970"/>
    <w:rsid w:val="008C1EA4"/>
    <w:rsid w:val="008C3302"/>
    <w:rsid w:val="008D062D"/>
    <w:rsid w:val="008D2703"/>
    <w:rsid w:val="008F4EA8"/>
    <w:rsid w:val="00902669"/>
    <w:rsid w:val="0094571B"/>
    <w:rsid w:val="00946DC3"/>
    <w:rsid w:val="00953DB2"/>
    <w:rsid w:val="009701B2"/>
    <w:rsid w:val="00970999"/>
    <w:rsid w:val="009721F4"/>
    <w:rsid w:val="00974860"/>
    <w:rsid w:val="00997787"/>
    <w:rsid w:val="009D426E"/>
    <w:rsid w:val="009E4581"/>
    <w:rsid w:val="009F65B7"/>
    <w:rsid w:val="00A0155B"/>
    <w:rsid w:val="00A04104"/>
    <w:rsid w:val="00A23FAC"/>
    <w:rsid w:val="00A2404A"/>
    <w:rsid w:val="00A3123E"/>
    <w:rsid w:val="00A327F4"/>
    <w:rsid w:val="00A45AD8"/>
    <w:rsid w:val="00A53EC1"/>
    <w:rsid w:val="00A81D71"/>
    <w:rsid w:val="00A87453"/>
    <w:rsid w:val="00AC6041"/>
    <w:rsid w:val="00AE4A35"/>
    <w:rsid w:val="00B03039"/>
    <w:rsid w:val="00B31F42"/>
    <w:rsid w:val="00B3748F"/>
    <w:rsid w:val="00B43880"/>
    <w:rsid w:val="00B503C2"/>
    <w:rsid w:val="00B704C7"/>
    <w:rsid w:val="00B950E0"/>
    <w:rsid w:val="00C14D44"/>
    <w:rsid w:val="00C20085"/>
    <w:rsid w:val="00C547BA"/>
    <w:rsid w:val="00C565C8"/>
    <w:rsid w:val="00C84FEA"/>
    <w:rsid w:val="00CB0B52"/>
    <w:rsid w:val="00CE3D63"/>
    <w:rsid w:val="00CE4972"/>
    <w:rsid w:val="00CE70BB"/>
    <w:rsid w:val="00D37A80"/>
    <w:rsid w:val="00D44076"/>
    <w:rsid w:val="00D53A94"/>
    <w:rsid w:val="00D843CD"/>
    <w:rsid w:val="00DB0807"/>
    <w:rsid w:val="00DB5314"/>
    <w:rsid w:val="00DC66DB"/>
    <w:rsid w:val="00DC6998"/>
    <w:rsid w:val="00DF090D"/>
    <w:rsid w:val="00DF3C33"/>
    <w:rsid w:val="00E23F73"/>
    <w:rsid w:val="00E241A9"/>
    <w:rsid w:val="00E34FDC"/>
    <w:rsid w:val="00E51163"/>
    <w:rsid w:val="00E8264F"/>
    <w:rsid w:val="00E923EE"/>
    <w:rsid w:val="00E9444D"/>
    <w:rsid w:val="00EA373E"/>
    <w:rsid w:val="00ED1004"/>
    <w:rsid w:val="00ED5436"/>
    <w:rsid w:val="00ED654A"/>
    <w:rsid w:val="00EE26C4"/>
    <w:rsid w:val="00F05CB1"/>
    <w:rsid w:val="00F07544"/>
    <w:rsid w:val="00F14BAD"/>
    <w:rsid w:val="00F14ECC"/>
    <w:rsid w:val="00F20AF1"/>
    <w:rsid w:val="00F42B9A"/>
    <w:rsid w:val="00F54D31"/>
    <w:rsid w:val="00F7003A"/>
    <w:rsid w:val="00F74381"/>
    <w:rsid w:val="00F8292A"/>
    <w:rsid w:val="00F9008F"/>
    <w:rsid w:val="00FA1DA5"/>
    <w:rsid w:val="00FA5C7D"/>
    <w:rsid w:val="00FC2FE4"/>
    <w:rsid w:val="00FD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3F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3F7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  <w:style w:type="character" w:customStyle="1" w:styleId="A3">
    <w:name w:val="A3"/>
    <w:basedOn w:val="Standardnpsmoodstavce"/>
    <w:uiPriority w:val="99"/>
    <w:rsid w:val="00240DA5"/>
    <w:rPr>
      <w:rFonts w:ascii="DynaGrotesk LE" w:hAnsi="DynaGrotesk LE" w:hint="default"/>
      <w:color w:val="00000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3F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3F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Default">
    <w:name w:val="Default"/>
    <w:rsid w:val="003E1012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A5">
    <w:name w:val="A5"/>
    <w:uiPriority w:val="99"/>
    <w:rsid w:val="003E1012"/>
    <w:rPr>
      <w:rFonts w:cs="Franklin Gothic Book"/>
      <w:color w:val="000000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3F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3F7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84FEA"/>
    <w:rPr>
      <w:color w:val="0000FF" w:themeColor="hyperlink"/>
      <w:u w:val="single"/>
    </w:rPr>
  </w:style>
  <w:style w:type="character" w:customStyle="1" w:styleId="A3">
    <w:name w:val="A3"/>
    <w:basedOn w:val="Standardnpsmoodstavce"/>
    <w:uiPriority w:val="99"/>
    <w:rsid w:val="00240DA5"/>
    <w:rPr>
      <w:rFonts w:ascii="DynaGrotesk LE" w:hAnsi="DynaGrotesk LE" w:hint="default"/>
      <w:color w:val="00000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3F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3F7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Default">
    <w:name w:val="Default"/>
    <w:rsid w:val="003E1012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A5">
    <w:name w:val="A5"/>
    <w:uiPriority w:val="99"/>
    <w:rsid w:val="003E1012"/>
    <w:rPr>
      <w:rFonts w:cs="Franklin Gothic Book"/>
      <w:color w:val="00000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56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76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0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52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202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7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8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12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6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3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3</cp:revision>
  <cp:lastPrinted>2016-04-25T12:38:00Z</cp:lastPrinted>
  <dcterms:created xsi:type="dcterms:W3CDTF">2016-04-28T07:54:00Z</dcterms:created>
  <dcterms:modified xsi:type="dcterms:W3CDTF">2016-04-28T07:57:00Z</dcterms:modified>
</cp:coreProperties>
</file>