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E435" w14:textId="2FF56421" w:rsidR="0094312E" w:rsidRDefault="0094312E" w:rsidP="0094312E">
      <w:pPr>
        <w:spacing w:after="0" w:line="240" w:lineRule="auto"/>
        <w:rPr>
          <w:rFonts w:ascii="Calibri" w:hAnsi="Calibri" w:cs="Calibri"/>
          <w:b/>
        </w:rPr>
      </w:pPr>
      <w:bookmarkStart w:id="0" w:name="_GoBack"/>
      <w:bookmarkEnd w:id="0"/>
      <w:r w:rsidRPr="0094312E">
        <w:rPr>
          <w:b/>
          <w:bCs/>
          <w:sz w:val="36"/>
          <w:szCs w:val="36"/>
        </w:rPr>
        <w:t>Architekti jako designéři a tvorba Jiřího Kočandrle v Národním technickém muzeu</w:t>
      </w:r>
    </w:p>
    <w:p w14:paraId="17847705" w14:textId="77777777" w:rsidR="0094312E" w:rsidRDefault="0094312E" w:rsidP="0094312E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182E3DC" w14:textId="047BAC0F" w:rsidR="00243525" w:rsidRPr="0094312E" w:rsidRDefault="00E70398" w:rsidP="0094312E">
      <w:pPr>
        <w:spacing w:after="0" w:line="240" w:lineRule="auto"/>
        <w:jc w:val="both"/>
        <w:rPr>
          <w:b/>
          <w:bCs/>
          <w:sz w:val="36"/>
          <w:szCs w:val="36"/>
        </w:rPr>
      </w:pPr>
      <w:r>
        <w:rPr>
          <w:rFonts w:ascii="Calibri" w:hAnsi="Calibri" w:cs="Calibri"/>
          <w:b/>
        </w:rPr>
        <w:t>Národní</w:t>
      </w:r>
      <w:r w:rsidR="0094312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technické muze</w:t>
      </w:r>
      <w:r w:rsidR="0094312E">
        <w:rPr>
          <w:rFonts w:ascii="Calibri" w:hAnsi="Calibri" w:cs="Calibri"/>
          <w:b/>
        </w:rPr>
        <w:t>um otevírá výstavu</w:t>
      </w:r>
      <w:r>
        <w:rPr>
          <w:rFonts w:ascii="Calibri" w:hAnsi="Calibri" w:cs="Calibri"/>
          <w:b/>
        </w:rPr>
        <w:t xml:space="preserve"> </w:t>
      </w:r>
      <w:r w:rsidRPr="00E70398">
        <w:rPr>
          <w:rFonts w:ascii="Calibri" w:hAnsi="Calibri" w:cs="Calibri"/>
          <w:b/>
        </w:rPr>
        <w:t>„</w:t>
      </w:r>
      <w:r w:rsidRPr="00243525">
        <w:rPr>
          <w:rFonts w:ascii="Calibri" w:hAnsi="Calibri" w:cs="Calibri"/>
          <w:b/>
        </w:rPr>
        <w:t xml:space="preserve">Čeští architekti Jako designéři techniky </w:t>
      </w:r>
      <w:r w:rsidR="0094312E">
        <w:rPr>
          <w:rFonts w:ascii="Calibri" w:hAnsi="Calibri" w:cs="Calibri"/>
          <w:b/>
        </w:rPr>
        <w:br/>
      </w:r>
      <w:r w:rsidRPr="00243525">
        <w:rPr>
          <w:rFonts w:ascii="Calibri" w:hAnsi="Calibri" w:cs="Calibri"/>
          <w:b/>
        </w:rPr>
        <w:t>–</w:t>
      </w:r>
      <w:r>
        <w:rPr>
          <w:rFonts w:ascii="Calibri" w:hAnsi="Calibri" w:cs="Calibri"/>
          <w:b/>
        </w:rPr>
        <w:t xml:space="preserve"> J</w:t>
      </w:r>
      <w:r w:rsidRPr="00243525">
        <w:rPr>
          <w:rFonts w:ascii="Calibri" w:hAnsi="Calibri" w:cs="Calibri"/>
          <w:b/>
        </w:rPr>
        <w:t>iří Kočandrle</w:t>
      </w:r>
      <w:r w:rsidRPr="00E70398">
        <w:rPr>
          <w:rFonts w:ascii="Calibri" w:hAnsi="Calibri" w:cs="Calibri"/>
          <w:b/>
        </w:rPr>
        <w:t>“</w:t>
      </w:r>
      <w:r w:rsidR="00243525" w:rsidRPr="00E70398">
        <w:rPr>
          <w:rFonts w:ascii="Calibri" w:hAnsi="Calibri" w:cs="Calibri"/>
          <w:b/>
        </w:rPr>
        <w:t>,</w:t>
      </w:r>
      <w:r w:rsidR="0094312E">
        <w:rPr>
          <w:rFonts w:ascii="Calibri" w:hAnsi="Calibri" w:cs="Calibri"/>
          <w:b/>
        </w:rPr>
        <w:t xml:space="preserve"> která</w:t>
      </w:r>
      <w:r>
        <w:rPr>
          <w:b/>
        </w:rPr>
        <w:t xml:space="preserve"> </w:t>
      </w:r>
      <w:r>
        <w:rPr>
          <w:rFonts w:ascii="Calibri" w:hAnsi="Calibri" w:cs="Calibri"/>
          <w:b/>
        </w:rPr>
        <w:t xml:space="preserve">se jako </w:t>
      </w:r>
      <w:r w:rsidR="00243525" w:rsidRPr="00243525">
        <w:rPr>
          <w:rFonts w:ascii="Calibri" w:hAnsi="Calibri" w:cs="Calibri"/>
          <w:b/>
        </w:rPr>
        <w:t>první věnuje působení absolventů architektonických ateliérů vysokých škol v českém designu technických oborů a upozorňuje na důležitost architektonického školení ve vzniku a rozvoji průmyslového designu jako samostatné mezioborové disciplíny. Významná část výstavy je pojata jako první retrospektivní prezentace tvorby Jiřího Kočandrle (1941)</w:t>
      </w:r>
      <w:r w:rsidR="00140ED7">
        <w:rPr>
          <w:rFonts w:ascii="Calibri" w:hAnsi="Calibri" w:cs="Calibri"/>
          <w:b/>
        </w:rPr>
        <w:t>.</w:t>
      </w:r>
      <w:r w:rsidR="00243525" w:rsidRPr="00243525">
        <w:rPr>
          <w:rFonts w:ascii="Calibri" w:hAnsi="Calibri" w:cs="Calibri"/>
          <w:b/>
        </w:rPr>
        <w:t xml:space="preserve"> </w:t>
      </w:r>
    </w:p>
    <w:p w14:paraId="311A526E" w14:textId="77777777" w:rsidR="00243525" w:rsidRPr="00243525" w:rsidRDefault="00243525" w:rsidP="00243525">
      <w:pPr>
        <w:spacing w:after="0" w:line="240" w:lineRule="auto"/>
      </w:pPr>
    </w:p>
    <w:p w14:paraId="3EE13F04" w14:textId="77777777" w:rsidR="00243525" w:rsidRPr="00243525" w:rsidRDefault="00243525" w:rsidP="003B7676">
      <w:pPr>
        <w:spacing w:after="0" w:line="240" w:lineRule="auto"/>
        <w:jc w:val="both"/>
      </w:pPr>
      <w:r w:rsidRPr="00243525">
        <w:t>Architektura a design – spojení celkem běžné, ne-li samozřejmé. Architekti dnes stejně jako dříve navrhují nábytek a interiéry, designéři pak rovněž interiéry či interiérové doplňky, a v poslední době sami přicházejí i s novými koncepty bydlení.</w:t>
      </w:r>
    </w:p>
    <w:p w14:paraId="623B5611" w14:textId="77777777" w:rsidR="00243525" w:rsidRPr="00243525" w:rsidRDefault="00243525" w:rsidP="003B7676">
      <w:pPr>
        <w:spacing w:after="0" w:line="240" w:lineRule="auto"/>
        <w:jc w:val="both"/>
      </w:pPr>
    </w:p>
    <w:p w14:paraId="1961AD4F" w14:textId="5CFE819A" w:rsidR="00243525" w:rsidRPr="00243525" w:rsidRDefault="00243525" w:rsidP="003B7676">
      <w:pPr>
        <w:spacing w:after="0" w:line="240" w:lineRule="auto"/>
        <w:jc w:val="both"/>
      </w:pPr>
      <w:r w:rsidRPr="00243525">
        <w:t>Architektura a design elektrospotřebičů, dopravních prostředků či strojů – to je téma, které pro širší a</w:t>
      </w:r>
      <w:r w:rsidR="00BC56EC">
        <w:t> </w:t>
      </w:r>
      <w:r w:rsidRPr="00243525">
        <w:t xml:space="preserve">někdy i odbornou veřejnost bude zřejmě považováno za okrajové či za zpestření jakéhosi „hlavního proudu“ v designu. </w:t>
      </w:r>
    </w:p>
    <w:p w14:paraId="53426F16" w14:textId="77777777" w:rsidR="00243525" w:rsidRPr="00243525" w:rsidRDefault="00243525" w:rsidP="003B7676">
      <w:pPr>
        <w:spacing w:after="0" w:line="240" w:lineRule="auto"/>
        <w:jc w:val="both"/>
      </w:pPr>
    </w:p>
    <w:p w14:paraId="36AC9275" w14:textId="324480EF" w:rsidR="00243525" w:rsidRPr="00243525" w:rsidRDefault="00243525" w:rsidP="003B7676">
      <w:pPr>
        <w:spacing w:after="0" w:line="240" w:lineRule="auto"/>
        <w:jc w:val="both"/>
      </w:pPr>
      <w:r w:rsidRPr="00243525">
        <w:t>Přitom to byli právě architekti, kteří si v polovině 19. století mezi prvními všimli rozporu mezi technickým, technologickým a estetickým pojetím průmyslových výrobků. A o půl století později, s nástupem rané moderny, se aktivně zasloužili o převrat v jejich tvarovém a mnohdy i funkčním a</w:t>
      </w:r>
      <w:r w:rsidR="00BC56EC">
        <w:t> </w:t>
      </w:r>
      <w:r w:rsidRPr="00243525">
        <w:t xml:space="preserve">technologickém řešení. Architekti stáli u zrodu německého </w:t>
      </w:r>
      <w:proofErr w:type="spellStart"/>
      <w:r w:rsidRPr="00243525">
        <w:t>Werkbundu</w:t>
      </w:r>
      <w:proofErr w:type="spellEnd"/>
      <w:r w:rsidRPr="00243525">
        <w:t xml:space="preserve">, prvního sdružení podstatně zaměřeného na estetickou kulturu průmyslové výroby, spřízněného Svazu </w:t>
      </w:r>
      <w:proofErr w:type="gramStart"/>
      <w:r w:rsidRPr="00243525">
        <w:t>českého</w:t>
      </w:r>
      <w:proofErr w:type="gramEnd"/>
      <w:r w:rsidR="00471FEE">
        <w:t xml:space="preserve"> </w:t>
      </w:r>
      <w:r w:rsidRPr="00243525">
        <w:t xml:space="preserve">resp. československého díla, ale i legendárního </w:t>
      </w:r>
      <w:proofErr w:type="spellStart"/>
      <w:r w:rsidRPr="00243525">
        <w:t>Bauhausu</w:t>
      </w:r>
      <w:proofErr w:type="spellEnd"/>
      <w:r w:rsidRPr="00243525">
        <w:t xml:space="preserve">.  Zcela klíčovou roli pak architekti sehráli v nástupu italského a skandinávského designu, a zásadní vklad měli také v průkopnické éře průmyslového výtvarnictví v poválečném Československu. </w:t>
      </w:r>
    </w:p>
    <w:p w14:paraId="157B68D3" w14:textId="77777777" w:rsidR="00243525" w:rsidRPr="00243525" w:rsidRDefault="00243525" w:rsidP="003B7676">
      <w:pPr>
        <w:spacing w:after="0" w:line="240" w:lineRule="auto"/>
        <w:jc w:val="both"/>
      </w:pPr>
    </w:p>
    <w:p w14:paraId="3A7123B8" w14:textId="73790E53" w:rsidR="00243525" w:rsidRDefault="00243525" w:rsidP="003B7676">
      <w:pPr>
        <w:spacing w:after="0" w:line="240" w:lineRule="auto"/>
        <w:jc w:val="both"/>
      </w:pPr>
      <w:r w:rsidRPr="00243525">
        <w:t xml:space="preserve">V rozsáhlém projektu NAKI II MK ČR </w:t>
      </w:r>
      <w:r w:rsidRPr="00243525">
        <w:rPr>
          <w:i/>
          <w:iCs/>
        </w:rPr>
        <w:t>Designéři v českých zemích a československý strojírenský průmysl</w:t>
      </w:r>
      <w:r w:rsidRPr="00243525">
        <w:t xml:space="preserve"> proto nesmí chybět výstava, kterou nyní otevíráme v Národním technickém muzeu: </w:t>
      </w:r>
      <w:r w:rsidRPr="00243525">
        <w:rPr>
          <w:b/>
          <w:bCs/>
        </w:rPr>
        <w:t>Čeští architekti jako designéři techniky – Jiří Kočandrle.</w:t>
      </w:r>
      <w:r w:rsidRPr="00243525">
        <w:t xml:space="preserve"> </w:t>
      </w:r>
    </w:p>
    <w:p w14:paraId="06278742" w14:textId="77777777" w:rsidR="00D0508D" w:rsidRPr="00243525" w:rsidRDefault="00D0508D" w:rsidP="003B7676">
      <w:pPr>
        <w:spacing w:after="0" w:line="240" w:lineRule="auto"/>
        <w:jc w:val="both"/>
      </w:pPr>
    </w:p>
    <w:p w14:paraId="7FC05FC9" w14:textId="49ED6298" w:rsidR="00243525" w:rsidRPr="00243525" w:rsidRDefault="00140ED7" w:rsidP="003B7676">
      <w:pPr>
        <w:spacing w:after="0" w:line="240" w:lineRule="auto"/>
        <w:jc w:val="both"/>
        <w:rPr>
          <w:bCs/>
          <w:i/>
          <w:iCs/>
        </w:rPr>
      </w:pPr>
      <w:r>
        <w:rPr>
          <w:bCs/>
          <w:i/>
          <w:iCs/>
        </w:rPr>
        <w:t>„</w:t>
      </w:r>
      <w:r w:rsidR="00243525" w:rsidRPr="00243525">
        <w:rPr>
          <w:bCs/>
          <w:i/>
          <w:iCs/>
        </w:rPr>
        <w:t>Jsme rádi, že dlouhodobá činnost Národního technického muzea v oblasti výzkumu a prezentace československého designu mohla být v posledních letech díky podpoře Ministerstva kultury významně obohacena o další výstavní, publikační, ale i související akviziční počiny</w:t>
      </w:r>
      <w:r>
        <w:rPr>
          <w:bCs/>
          <w:i/>
          <w:iCs/>
        </w:rPr>
        <w:t xml:space="preserve">“, </w:t>
      </w:r>
      <w:r w:rsidR="00243525" w:rsidRPr="00243525">
        <w:t xml:space="preserve">říká generální ředitel Národního technického muzea Karel Ksandr. </w:t>
      </w:r>
    </w:p>
    <w:p w14:paraId="1227A034" w14:textId="77777777" w:rsidR="00243525" w:rsidRPr="00243525" w:rsidRDefault="00243525" w:rsidP="003B7676">
      <w:pPr>
        <w:spacing w:after="0" w:line="240" w:lineRule="auto"/>
        <w:jc w:val="both"/>
      </w:pPr>
    </w:p>
    <w:p w14:paraId="153999E0" w14:textId="0ACF59E3" w:rsidR="00243525" w:rsidRPr="00243525" w:rsidRDefault="00243525" w:rsidP="003B7676">
      <w:pPr>
        <w:spacing w:after="0" w:line="240" w:lineRule="auto"/>
        <w:jc w:val="both"/>
      </w:pPr>
      <w:r w:rsidRPr="00243525">
        <w:t xml:space="preserve">První část poněkud dlouhého názvu výstavy připomíná výše </w:t>
      </w:r>
      <w:r w:rsidR="00E71782">
        <w:t xml:space="preserve">zmíněný </w:t>
      </w:r>
      <w:r w:rsidRPr="00243525">
        <w:t xml:space="preserve">význam architektů a absolventů architektonických ateliérů mezi průkopníky československého průmyslového designu v poválečných desetiletích. Jména jako </w:t>
      </w:r>
      <w:r w:rsidRPr="00243525">
        <w:rPr>
          <w:b/>
        </w:rPr>
        <w:t>Stanislav Lachman, Otakar Diblík, František Crhák</w:t>
      </w:r>
      <w:r w:rsidRPr="00243525">
        <w:t xml:space="preserve"> nebo </w:t>
      </w:r>
      <w:r w:rsidRPr="00243525">
        <w:rPr>
          <w:b/>
        </w:rPr>
        <w:t xml:space="preserve">Jan </w:t>
      </w:r>
      <w:proofErr w:type="spellStart"/>
      <w:r w:rsidRPr="00243525">
        <w:rPr>
          <w:b/>
        </w:rPr>
        <w:t>Tatoušek</w:t>
      </w:r>
      <w:proofErr w:type="spellEnd"/>
      <w:r w:rsidRPr="00243525">
        <w:t xml:space="preserve"> už vešla do povědomí veřejnosti. První jmenovaný díky výstavě otevřené v NTM před 21 lety. O několik let později pak následovaly putovní výstavy dalších dvou jmenovaných osobností československého průmyslového designu. A konečně výstavní prezentace Jana </w:t>
      </w:r>
      <w:proofErr w:type="spellStart"/>
      <w:r w:rsidRPr="00243525">
        <w:t>Tatouška</w:t>
      </w:r>
      <w:proofErr w:type="spellEnd"/>
      <w:r w:rsidRPr="00243525">
        <w:t xml:space="preserve">, připravená v souvislosti s uvedeným projektem NAKI, skončila v květnu letošního roku. Na rozdíl od jmenovaných výstav k ní byl také vydán rozsáhlý katalog. </w:t>
      </w:r>
    </w:p>
    <w:p w14:paraId="5DD0D594" w14:textId="49289DD5" w:rsidR="00243525" w:rsidRPr="00243525" w:rsidRDefault="00243525" w:rsidP="003B7676">
      <w:pPr>
        <w:spacing w:after="0" w:line="240" w:lineRule="auto"/>
        <w:jc w:val="both"/>
      </w:pPr>
      <w:r w:rsidRPr="00243525">
        <w:t xml:space="preserve">Zatímco Otakar Diblík a František Crhák absolvovali architekturu na brněnské technice, Stanislav Lachman, Jan </w:t>
      </w:r>
      <w:proofErr w:type="spellStart"/>
      <w:r w:rsidRPr="00243525">
        <w:t>Tatoušek</w:t>
      </w:r>
      <w:proofErr w:type="spellEnd"/>
      <w:r w:rsidRPr="00243525">
        <w:t xml:space="preserve"> i další designéři, vystudovali ateliéry tzv. užité architektury na Vysoké škole uměleckoprůmyslové v Praze. Ateliéry, v nichž působili žáci Pavla Janáka a Josefa Gočára a jejichž tradice sahá až k pedagogickému a návrhářskému působení Gočárova učitele Jana </w:t>
      </w:r>
      <w:proofErr w:type="spellStart"/>
      <w:r w:rsidRPr="00243525">
        <w:t>Kotěry</w:t>
      </w:r>
      <w:proofErr w:type="spellEnd"/>
      <w:r w:rsidRPr="00243525">
        <w:t xml:space="preserve">, zakladatele Svazu českého díla před první světovou válkou. </w:t>
      </w:r>
    </w:p>
    <w:p w14:paraId="2F9E793D" w14:textId="77777777" w:rsidR="00243525" w:rsidRPr="00243525" w:rsidRDefault="00243525" w:rsidP="003B7676">
      <w:pPr>
        <w:spacing w:after="0" w:line="240" w:lineRule="auto"/>
        <w:jc w:val="both"/>
      </w:pPr>
    </w:p>
    <w:p w14:paraId="6D9DF745" w14:textId="357CA141" w:rsidR="00243525" w:rsidRDefault="00243525" w:rsidP="003B7676">
      <w:pPr>
        <w:spacing w:after="0" w:line="240" w:lineRule="auto"/>
        <w:jc w:val="both"/>
      </w:pPr>
      <w:r w:rsidRPr="00243525">
        <w:lastRenderedPageBreak/>
        <w:t xml:space="preserve">V další generaci československých průmyslových designérů, nastupujících do praxe na přelomu šedesátých a sedmdesátých let, zcela převážili absolventi jediného detašovaného ateliéru tvarování strojů a nástrojů při VŠUP ve Zlíně (tehdejším Gottwaldově). </w:t>
      </w:r>
    </w:p>
    <w:p w14:paraId="09430FE3" w14:textId="77777777" w:rsidR="00D0508D" w:rsidRPr="00243525" w:rsidRDefault="00D0508D" w:rsidP="003B7676">
      <w:pPr>
        <w:spacing w:after="0" w:line="240" w:lineRule="auto"/>
        <w:jc w:val="both"/>
      </w:pPr>
    </w:p>
    <w:p w14:paraId="6023F14C" w14:textId="476FC6AE" w:rsidR="00243525" w:rsidRDefault="00243525" w:rsidP="003B7676">
      <w:pPr>
        <w:spacing w:after="0" w:line="240" w:lineRule="auto"/>
        <w:jc w:val="both"/>
      </w:pPr>
      <w:r w:rsidRPr="00243525">
        <w:t xml:space="preserve">Tradici školení budoucích průmyslových designérů v ateliérech architektury VŠUP ovšem v této generaci velmi výrazně zastupuje </w:t>
      </w:r>
      <w:r w:rsidRPr="00243525">
        <w:rPr>
          <w:b/>
        </w:rPr>
        <w:t>Jiří Kočandrle</w:t>
      </w:r>
      <w:r w:rsidRPr="00243525">
        <w:t xml:space="preserve">, který v roce 1968 absolvoval ateliér prof. Pavla Smetany. Podstatný prostor ve výstavě je proto věnován první retrospektivní prezentaci jeho tvorby, což odráží i druhá část názvu výstavy.   </w:t>
      </w:r>
    </w:p>
    <w:p w14:paraId="2625D488" w14:textId="77777777" w:rsidR="00243525" w:rsidRPr="00243525" w:rsidRDefault="00243525" w:rsidP="003B7676">
      <w:pPr>
        <w:spacing w:after="0" w:line="240" w:lineRule="auto"/>
        <w:jc w:val="both"/>
      </w:pPr>
    </w:p>
    <w:p w14:paraId="785919FB" w14:textId="77777777" w:rsidR="00243525" w:rsidRPr="00243525" w:rsidRDefault="00243525" w:rsidP="003B7676">
      <w:pPr>
        <w:spacing w:after="0" w:line="240" w:lineRule="auto"/>
        <w:jc w:val="both"/>
        <w:rPr>
          <w:rFonts w:cstheme="minorHAnsi"/>
        </w:rPr>
      </w:pPr>
      <w:r w:rsidRPr="00243525">
        <w:rPr>
          <w:rFonts w:cstheme="minorHAnsi"/>
        </w:rPr>
        <w:t xml:space="preserve">Výstavní prezentace tvorby Jiřího Kočandrle je v rámci aktuální výstavy rozdělena na dvě hlavní části, rozdělené obrazově-hudební kompozicí ilustrující zásadní životní, tvůrčí i myšlenkovou proměnu na přelomu osmdesátých a devadesátých let.  Vedle výše zmíněných i dalších stěžejních exponátů je součástí výstavy i objekt „Pocta papíru“ jako upomínka na spolupráci s formou EMBA.  Každá z obou částí je dále dělena tzv. mezníky, které představují zásadní kapitoly jeho tvůrčího působení.  </w:t>
      </w:r>
    </w:p>
    <w:p w14:paraId="0D46BB9B" w14:textId="77777777" w:rsidR="00243525" w:rsidRPr="00243525" w:rsidRDefault="00243525" w:rsidP="003B7676">
      <w:pPr>
        <w:spacing w:after="0" w:line="240" w:lineRule="auto"/>
        <w:jc w:val="both"/>
        <w:rPr>
          <w:rFonts w:cstheme="minorHAnsi"/>
        </w:rPr>
      </w:pPr>
      <w:r w:rsidRPr="00243525">
        <w:rPr>
          <w:rFonts w:cstheme="minorHAnsi"/>
        </w:rPr>
        <w:t>Zde nesmíme opomenout ani působení pedagogické. V letech 1996-2006 vedl Jiří Kočandrle výuku designu na vysokých školách v jihokorejském Soulu. Jako designér spolupracoval i s korejskými výrobci. Stranou nezůstala ani činnost publikační s teoreticko-filosofickými přesahy, jak dokazuje např. definice designu ze závěru jeho pedagogického působení v Koreji.</w:t>
      </w:r>
    </w:p>
    <w:p w14:paraId="6D97E1E1" w14:textId="77777777" w:rsidR="00243525" w:rsidRPr="00243525" w:rsidRDefault="00243525" w:rsidP="003B7676">
      <w:pPr>
        <w:spacing w:after="0" w:line="240" w:lineRule="auto"/>
        <w:jc w:val="both"/>
        <w:rPr>
          <w:rFonts w:cstheme="minorHAnsi"/>
          <w:i/>
          <w:iCs/>
        </w:rPr>
      </w:pPr>
    </w:p>
    <w:p w14:paraId="76C153E5" w14:textId="2EB3B3E8" w:rsidR="00243525" w:rsidRPr="00243525" w:rsidRDefault="00243525" w:rsidP="003B7676">
      <w:pPr>
        <w:spacing w:after="0" w:line="240" w:lineRule="auto"/>
        <w:jc w:val="both"/>
        <w:rPr>
          <w:rFonts w:cstheme="minorHAnsi"/>
          <w:i/>
          <w:iCs/>
        </w:rPr>
      </w:pPr>
      <w:r w:rsidRPr="00243525">
        <w:rPr>
          <w:rFonts w:cstheme="minorHAnsi"/>
          <w:i/>
          <w:iCs/>
        </w:rPr>
        <w:t xml:space="preserve"> „Design je kreativní, dynamický, interdisciplinární proces, který vznikl na pomezí technologie a umění, kultury a obchodu, reality a vizí. Ve fázi vývoje produktu design integruje všechny vstupy, ve fázi jeho užívání pak komunikuje v něm obsažené kvality, funkce a sdělení. Můžeme jej nazvat nejdemokratičtější formou umění, filozofií výroby, spotřeby a užití, která hraje důležitou roli při vytváření hmotné a environmentální kultury. V konečném důsledku design přispívá k formování životního stylu společnosti a identity jedince.“</w:t>
      </w:r>
      <w:r w:rsidR="00603BF1">
        <w:rPr>
          <w:rFonts w:cstheme="minorHAnsi"/>
          <w:i/>
          <w:iCs/>
        </w:rPr>
        <w:t xml:space="preserve"> </w:t>
      </w:r>
    </w:p>
    <w:p w14:paraId="51F695E6" w14:textId="77777777" w:rsidR="00783D6F" w:rsidRDefault="00783D6F" w:rsidP="003B7676">
      <w:pPr>
        <w:spacing w:after="0" w:line="240" w:lineRule="auto"/>
        <w:jc w:val="both"/>
        <w:rPr>
          <w:rFonts w:cstheme="minorHAnsi"/>
        </w:rPr>
      </w:pPr>
    </w:p>
    <w:p w14:paraId="71BC6C67" w14:textId="58BB0437" w:rsidR="00243525" w:rsidRPr="00243525" w:rsidRDefault="00243525" w:rsidP="003B7676">
      <w:pPr>
        <w:spacing w:after="0" w:line="240" w:lineRule="auto"/>
        <w:jc w:val="both"/>
        <w:rPr>
          <w:rFonts w:cstheme="minorHAnsi"/>
        </w:rPr>
      </w:pPr>
      <w:r w:rsidRPr="00243525">
        <w:rPr>
          <w:rFonts w:cstheme="minorHAnsi"/>
        </w:rPr>
        <w:t xml:space="preserve">Kurátorkou výstavy </w:t>
      </w:r>
      <w:r w:rsidR="00E70398">
        <w:rPr>
          <w:rFonts w:cstheme="minorHAnsi"/>
        </w:rPr>
        <w:t>„</w:t>
      </w:r>
      <w:r w:rsidRPr="00243525">
        <w:rPr>
          <w:rFonts w:cstheme="minorHAnsi"/>
        </w:rPr>
        <w:t>Čeští architekti Jako designéři techniky – Jiří Kočandrle</w:t>
      </w:r>
      <w:r w:rsidR="00E70398">
        <w:rPr>
          <w:rFonts w:cstheme="minorHAnsi"/>
        </w:rPr>
        <w:t>“</w:t>
      </w:r>
      <w:r w:rsidRPr="00243525">
        <w:rPr>
          <w:rFonts w:cstheme="minorHAnsi"/>
        </w:rPr>
        <w:t xml:space="preserve"> je zakladatelka oddělení průmyslového designu NTM Johanna Pauly, která tak navázala na svou činnost v přípravě a realizaci retrospektivních výstav, konaných v Národním technickém muzeu a </w:t>
      </w:r>
      <w:r w:rsidR="00E70398">
        <w:rPr>
          <w:rFonts w:cstheme="minorHAnsi"/>
        </w:rPr>
        <w:t xml:space="preserve">v </w:t>
      </w:r>
      <w:r w:rsidRPr="00243525">
        <w:rPr>
          <w:rFonts w:cstheme="minorHAnsi"/>
        </w:rPr>
        <w:t xml:space="preserve">spolupracujících institucích už celé čtvrtstoletí. Spoluautorem výstavy je Jiří Hulák, který připravil úvodní část věnovanou fenoménu architektů-designérů v naší i světové historii. Prostorového řešení výstavy se osobně ujal Jiří Kočandrle, vizuální podoba výstavy je dílem prof. Rostislava Vaňka a Michala Kopeckého. Audiovizuální pořad připravilo studio </w:t>
      </w:r>
      <w:proofErr w:type="spellStart"/>
      <w:r w:rsidRPr="00243525">
        <w:rPr>
          <w:rFonts w:cstheme="minorHAnsi"/>
        </w:rPr>
        <w:t>Krutart</w:t>
      </w:r>
      <w:proofErr w:type="spellEnd"/>
      <w:r w:rsidRPr="00243525">
        <w:rPr>
          <w:rFonts w:cstheme="minorHAnsi"/>
        </w:rPr>
        <w:t>.</w:t>
      </w:r>
    </w:p>
    <w:p w14:paraId="6497A121" w14:textId="311527F7" w:rsidR="00243525" w:rsidRDefault="00243525" w:rsidP="003B7676">
      <w:pPr>
        <w:spacing w:after="0" w:line="240" w:lineRule="auto"/>
        <w:jc w:val="both"/>
        <w:rPr>
          <w:rFonts w:cstheme="minorHAnsi"/>
        </w:rPr>
      </w:pPr>
      <w:r w:rsidRPr="00243525">
        <w:rPr>
          <w:rFonts w:cstheme="minorHAnsi"/>
        </w:rPr>
        <w:t xml:space="preserve">    </w:t>
      </w:r>
    </w:p>
    <w:p w14:paraId="13AAF8D6" w14:textId="2118F5DF" w:rsidR="00783D6F" w:rsidRDefault="00783D6F" w:rsidP="003B7676">
      <w:pPr>
        <w:spacing w:after="0" w:line="240" w:lineRule="auto"/>
        <w:jc w:val="both"/>
        <w:rPr>
          <w:rFonts w:cstheme="minorHAnsi"/>
        </w:rPr>
      </w:pPr>
    </w:p>
    <w:p w14:paraId="0AF2ABE0" w14:textId="77777777" w:rsidR="00783D6F" w:rsidRPr="00243525" w:rsidRDefault="00783D6F" w:rsidP="00783D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43525">
        <w:rPr>
          <w:rFonts w:cstheme="minorHAnsi"/>
          <w:b/>
          <w:bCs/>
          <w:sz w:val="20"/>
          <w:szCs w:val="20"/>
        </w:rPr>
        <w:t xml:space="preserve">Jiří Kočandrle </w:t>
      </w:r>
      <w:r w:rsidRPr="00243525">
        <w:rPr>
          <w:rFonts w:cstheme="minorHAnsi"/>
          <w:sz w:val="20"/>
          <w:szCs w:val="20"/>
        </w:rPr>
        <w:t xml:space="preserve">se narodil 4. května 1941 v Českých Budějovicích. Vystudoval Střední průmyslovou školu strojnickou v Praze, a kvůli „kádrovému profilu“ rodiny se ke studiu vysoké školy dostal až po základní vojenské službě v roce 1962. Ještě před absolutoriem začal pracovat v oddělení prostorové akustiky podniku </w:t>
      </w:r>
      <w:proofErr w:type="spellStart"/>
      <w:r w:rsidRPr="00243525">
        <w:rPr>
          <w:rFonts w:cstheme="minorHAnsi"/>
          <w:sz w:val="20"/>
          <w:szCs w:val="20"/>
        </w:rPr>
        <w:t>Spojprojekt</w:t>
      </w:r>
      <w:proofErr w:type="spellEnd"/>
      <w:r w:rsidRPr="00243525">
        <w:rPr>
          <w:rFonts w:cstheme="minorHAnsi"/>
          <w:sz w:val="20"/>
          <w:szCs w:val="20"/>
        </w:rPr>
        <w:t xml:space="preserve">, kde se mimo jiné podílel na realizaci nových studií Československé televize. V letech 1969 a 1970, na samém konci jednoho ze svobodnějších období našich dějin, ještě stihl stáž v americkém Buffalu, kde se podílel na projektu tehdy největšího stadiónu na světě podle návrhu proslulého R. </w:t>
      </w:r>
      <w:proofErr w:type="spellStart"/>
      <w:r w:rsidRPr="00243525">
        <w:rPr>
          <w:rFonts w:cstheme="minorHAnsi"/>
          <w:sz w:val="20"/>
          <w:szCs w:val="20"/>
        </w:rPr>
        <w:t>Buckminstera</w:t>
      </w:r>
      <w:proofErr w:type="spellEnd"/>
      <w:r w:rsidRPr="00243525">
        <w:rPr>
          <w:rFonts w:cstheme="minorHAnsi"/>
          <w:sz w:val="20"/>
          <w:szCs w:val="20"/>
        </w:rPr>
        <w:t xml:space="preserve"> </w:t>
      </w:r>
      <w:proofErr w:type="spellStart"/>
      <w:r w:rsidRPr="00243525">
        <w:rPr>
          <w:rFonts w:cstheme="minorHAnsi"/>
          <w:sz w:val="20"/>
          <w:szCs w:val="20"/>
        </w:rPr>
        <w:t>Fullera</w:t>
      </w:r>
      <w:proofErr w:type="spellEnd"/>
      <w:r w:rsidRPr="00243525">
        <w:rPr>
          <w:rFonts w:cstheme="minorHAnsi"/>
          <w:sz w:val="20"/>
          <w:szCs w:val="20"/>
        </w:rPr>
        <w:t xml:space="preserve">. Ve </w:t>
      </w:r>
      <w:proofErr w:type="spellStart"/>
      <w:r w:rsidRPr="00243525">
        <w:rPr>
          <w:rFonts w:cstheme="minorHAnsi"/>
          <w:sz w:val="20"/>
          <w:szCs w:val="20"/>
        </w:rPr>
        <w:t>Spojprojektu</w:t>
      </w:r>
      <w:proofErr w:type="spellEnd"/>
      <w:r w:rsidRPr="00243525">
        <w:rPr>
          <w:rFonts w:cstheme="minorHAnsi"/>
          <w:sz w:val="20"/>
          <w:szCs w:val="20"/>
        </w:rPr>
        <w:t xml:space="preserve"> pak pracoval další dva roky. </w:t>
      </w:r>
    </w:p>
    <w:p w14:paraId="1AB86068" w14:textId="77777777" w:rsidR="00783D6F" w:rsidRPr="00243525" w:rsidRDefault="00783D6F" w:rsidP="0078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5739D1" w14:textId="10E8A5B5" w:rsidR="00783D6F" w:rsidRDefault="00783D6F" w:rsidP="0078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43525">
        <w:rPr>
          <w:rFonts w:cstheme="minorHAnsi"/>
          <w:sz w:val="20"/>
          <w:szCs w:val="20"/>
        </w:rPr>
        <w:t xml:space="preserve">V letech 1973-1991 působil Jiří Kočandrle jako designér v podniku TESLA Hloubětín, který se specializoval na vývoj a výrobu </w:t>
      </w:r>
      <w:r w:rsidRPr="00243525">
        <w:rPr>
          <w:rFonts w:eastAsia="Arial" w:cstheme="minorHAnsi"/>
          <w:color w:val="000000"/>
          <w:sz w:val="20"/>
          <w:szCs w:val="20"/>
        </w:rPr>
        <w:t>televizních a rozhlasových vysílačů, měřicí techniky a směrových pojítek. I v tomto zdánlivě zcela „neestetickém“ odvětví sortimentu si dokázal najít vlastní cestu k uplatnění designérské tvorby. Jak sám říká, postupem času se „</w:t>
      </w:r>
      <w:r w:rsidRPr="00243525">
        <w:rPr>
          <w:rFonts w:cstheme="minorHAnsi"/>
          <w:i/>
          <w:iCs/>
          <w:sz w:val="20"/>
          <w:szCs w:val="20"/>
        </w:rPr>
        <w:t xml:space="preserve">snažil o uplatnění spíše racionálních, technických, nežli ryze výtvarných, estetických prvků na </w:t>
      </w:r>
      <w:r w:rsidR="008758E9">
        <w:rPr>
          <w:rFonts w:cstheme="minorHAnsi"/>
          <w:i/>
          <w:iCs/>
          <w:sz w:val="20"/>
          <w:szCs w:val="20"/>
        </w:rPr>
        <w:t>,</w:t>
      </w:r>
      <w:r w:rsidRPr="00243525">
        <w:rPr>
          <w:rFonts w:cstheme="minorHAnsi"/>
          <w:i/>
          <w:iCs/>
          <w:sz w:val="20"/>
          <w:szCs w:val="20"/>
        </w:rPr>
        <w:t xml:space="preserve">fasádě´ převážně skříňových výrobků, jakými jsou </w:t>
      </w:r>
      <w:proofErr w:type="spellStart"/>
      <w:r w:rsidRPr="00243525">
        <w:rPr>
          <w:rFonts w:cstheme="minorHAnsi"/>
          <w:i/>
          <w:iCs/>
          <w:sz w:val="20"/>
          <w:szCs w:val="20"/>
        </w:rPr>
        <w:t>jäcklové</w:t>
      </w:r>
      <w:proofErr w:type="spellEnd"/>
      <w:r w:rsidRPr="00243525">
        <w:rPr>
          <w:rFonts w:cstheme="minorHAnsi"/>
          <w:i/>
          <w:iCs/>
          <w:sz w:val="20"/>
          <w:szCs w:val="20"/>
        </w:rPr>
        <w:t xml:space="preserve"> a válcované U profily ve viditelné, exponované konstrukci“, </w:t>
      </w:r>
      <w:r w:rsidRPr="00243525">
        <w:rPr>
          <w:rFonts w:cstheme="minorHAnsi"/>
          <w:sz w:val="20"/>
          <w:szCs w:val="20"/>
        </w:rPr>
        <w:t>a dodává:</w:t>
      </w:r>
      <w:r w:rsidRPr="00243525">
        <w:rPr>
          <w:rFonts w:cstheme="minorHAnsi"/>
          <w:i/>
          <w:iCs/>
          <w:sz w:val="20"/>
          <w:szCs w:val="20"/>
        </w:rPr>
        <w:t xml:space="preserve"> „Letitou bitvu s pracovníky koncernové normalizace představovala snaha o lineární odlehčení firemního znaku a robustního blokového nápisu TESLA, vhodného spíše pro uhelné sklady, nežli reprezentanta soudobé elektroniky.“</w:t>
      </w:r>
      <w:r w:rsidRPr="00243525">
        <w:rPr>
          <w:rFonts w:cstheme="minorHAnsi"/>
          <w:sz w:val="20"/>
          <w:szCs w:val="20"/>
        </w:rPr>
        <w:t xml:space="preserve"> V návrhu televizní měřicí soupravy uplatnil Jiří Kočandrle optimální ergonomické uspořádání jednotlivých přístrojů v nosném rámu, čímž výrobek zároveň získal nezaměnitelný </w:t>
      </w:r>
      <w:r w:rsidRPr="00243525">
        <w:rPr>
          <w:rFonts w:cstheme="minorHAnsi"/>
          <w:sz w:val="20"/>
          <w:szCs w:val="20"/>
        </w:rPr>
        <w:lastRenderedPageBreak/>
        <w:t xml:space="preserve">charakter.     </w:t>
      </w:r>
    </w:p>
    <w:p w14:paraId="7F1A40AC" w14:textId="77777777" w:rsidR="00140ED7" w:rsidRPr="00243525" w:rsidRDefault="00140ED7" w:rsidP="0078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51DE11" w14:textId="77777777" w:rsidR="00783D6F" w:rsidRPr="00243525" w:rsidRDefault="00783D6F" w:rsidP="00783D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43525">
        <w:rPr>
          <w:rFonts w:cstheme="minorHAnsi"/>
          <w:color w:val="000000"/>
          <w:sz w:val="20"/>
          <w:szCs w:val="20"/>
        </w:rPr>
        <w:t xml:space="preserve">V době působení v hloubětínské Tesle spolu s dalšími designéry a grafiky podílel také na tvorbě firemního stylu celého koncernu TESLA. </w:t>
      </w:r>
      <w:r w:rsidRPr="00243525">
        <w:rPr>
          <w:rFonts w:cstheme="minorHAnsi"/>
          <w:sz w:val="20"/>
          <w:szCs w:val="20"/>
        </w:rPr>
        <w:t xml:space="preserve">Pro Výzkumný ústav pro sdělovací techniku (TESLA VÚST) navrhoval jednotnou řady přístrojů spotřební elektroniky. Na toto téma byl natočen jeden z dílů řady Zašlapané projekty ČT s názvem Vltava šanci neměla, který výstava rovněž prezentuje. Pro Výzkumný ústav rozhlasu a televize navrhl kompaktní přenosovou kameru pro barevnou televizi, která se do výroby dostala koncem osmdesátých let. Jiří Kočandrle je rovněž autorem designérského řešení telefonních přístrojů, které TESLA </w:t>
      </w:r>
      <w:proofErr w:type="spellStart"/>
      <w:r w:rsidRPr="00243525">
        <w:rPr>
          <w:rFonts w:cstheme="minorHAnsi"/>
          <w:sz w:val="20"/>
          <w:szCs w:val="20"/>
        </w:rPr>
        <w:t>Stropkov</w:t>
      </w:r>
      <w:proofErr w:type="spellEnd"/>
      <w:r w:rsidRPr="00243525">
        <w:rPr>
          <w:rFonts w:cstheme="minorHAnsi"/>
          <w:sz w:val="20"/>
          <w:szCs w:val="20"/>
        </w:rPr>
        <w:t xml:space="preserve"> vyráběla od počátku devadesátých let. </w:t>
      </w:r>
    </w:p>
    <w:p w14:paraId="56C11588" w14:textId="77777777" w:rsidR="00783D6F" w:rsidRPr="00243525" w:rsidRDefault="00783D6F" w:rsidP="00783D6F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4863D6B3" w14:textId="77777777" w:rsidR="00783D6F" w:rsidRPr="00243525" w:rsidRDefault="00783D6F" w:rsidP="00783D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43525">
        <w:rPr>
          <w:rFonts w:cstheme="minorHAnsi"/>
          <w:color w:val="000000"/>
          <w:sz w:val="20"/>
          <w:szCs w:val="20"/>
        </w:rPr>
        <w:t xml:space="preserve">Na přelomu osmdesátých a devadesátých let se podílel i na firemním stylu trustu </w:t>
      </w:r>
      <w:proofErr w:type="spellStart"/>
      <w:r w:rsidRPr="00243525">
        <w:rPr>
          <w:rFonts w:cstheme="minorHAnsi"/>
          <w:color w:val="000000"/>
          <w:sz w:val="20"/>
          <w:szCs w:val="20"/>
        </w:rPr>
        <w:t>Prago</w:t>
      </w:r>
      <w:proofErr w:type="spellEnd"/>
      <w:r w:rsidRPr="00243525">
        <w:rPr>
          <w:rFonts w:cstheme="minorHAnsi"/>
          <w:color w:val="000000"/>
          <w:sz w:val="20"/>
          <w:szCs w:val="20"/>
        </w:rPr>
        <w:t>-Union, sdružujícím zhruba dvacet nástrojařských, plastikářských a dalších výrobců. Jeho práce zahrnovala návrhy ucelených řad drobné kancelářské techniky (KIN), dodnes vyráběných souborů nožů (</w:t>
      </w:r>
      <w:proofErr w:type="spellStart"/>
      <w:r w:rsidRPr="00243525">
        <w:rPr>
          <w:rFonts w:cstheme="minorHAnsi"/>
          <w:color w:val="000000"/>
          <w:sz w:val="20"/>
          <w:szCs w:val="20"/>
        </w:rPr>
        <w:t>Mikov</w:t>
      </w:r>
      <w:proofErr w:type="spellEnd"/>
      <w:r w:rsidRPr="00243525">
        <w:rPr>
          <w:rFonts w:cstheme="minorHAnsi"/>
          <w:color w:val="000000"/>
          <w:sz w:val="20"/>
          <w:szCs w:val="20"/>
        </w:rPr>
        <w:t>) a příborů (</w:t>
      </w:r>
      <w:proofErr w:type="spellStart"/>
      <w:r w:rsidRPr="00243525">
        <w:rPr>
          <w:rFonts w:cstheme="minorHAnsi"/>
          <w:color w:val="000000"/>
          <w:sz w:val="20"/>
          <w:szCs w:val="20"/>
        </w:rPr>
        <w:t>Rostex</w:t>
      </w:r>
      <w:proofErr w:type="spellEnd"/>
      <w:r w:rsidRPr="00243525">
        <w:rPr>
          <w:rFonts w:cstheme="minorHAnsi"/>
          <w:color w:val="000000"/>
          <w:sz w:val="20"/>
          <w:szCs w:val="20"/>
        </w:rPr>
        <w:t>, nyní Toner), ale i prototypy jízdních kol (</w:t>
      </w:r>
      <w:proofErr w:type="spellStart"/>
      <w:r w:rsidRPr="00243525">
        <w:rPr>
          <w:rFonts w:cstheme="minorHAnsi"/>
          <w:color w:val="000000"/>
          <w:sz w:val="20"/>
          <w:szCs w:val="20"/>
        </w:rPr>
        <w:t>Velamos</w:t>
      </w:r>
      <w:proofErr w:type="spellEnd"/>
      <w:r w:rsidRPr="00243525">
        <w:rPr>
          <w:rFonts w:cstheme="minorHAnsi"/>
          <w:color w:val="000000"/>
          <w:sz w:val="20"/>
          <w:szCs w:val="20"/>
        </w:rPr>
        <w:t xml:space="preserve">). Pro vlastní potřebu si nechal vyrobit kolo Senior, které třicet let ke své spokojenosti používá. </w:t>
      </w:r>
    </w:p>
    <w:p w14:paraId="39307821" w14:textId="77777777" w:rsidR="00783D6F" w:rsidRPr="00243525" w:rsidRDefault="00783D6F" w:rsidP="00783D6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7D616F" w14:textId="77777777" w:rsidR="00783D6F" w:rsidRPr="00243525" w:rsidRDefault="00783D6F" w:rsidP="00783D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43525">
        <w:rPr>
          <w:rFonts w:cstheme="minorHAnsi"/>
          <w:sz w:val="20"/>
          <w:szCs w:val="20"/>
        </w:rPr>
        <w:t xml:space="preserve">Po listopadu 1989 a následném rozpadu stávajících struktur znárodněného tuzemského průmyslu začala pro Jiřího Kočandrle zcela nová tvůrčí i životní etapa. Objevil kouzlo papíru, přesněji řečeno recyklované hladké i vlnité lepenky, kterou začal využívat pro výrobu užitkových předmětů i výtvarnou tvorbu. Významným impulsem zde byl kontakt a následná spolupráce s firmou ROLLPA, později následovala mezinárodně oceněná tvorba pro dalšího významného výrobce v této oblasti, firmou EMBA.  Jiří Kočandrle vytvořil řadu autorských kolekcí včetně kompletního vybavení bytu papírovým mobiliářem. Za soubor obalů a tašek získal v roce 1994 Národní cenu za design. </w:t>
      </w:r>
    </w:p>
    <w:p w14:paraId="4C0F91D3" w14:textId="77777777" w:rsidR="00783D6F" w:rsidRPr="00243525" w:rsidRDefault="00783D6F" w:rsidP="00783D6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7E75783" w14:textId="77777777" w:rsidR="00783D6F" w:rsidRDefault="00783D6F" w:rsidP="003B7676">
      <w:pPr>
        <w:spacing w:after="0" w:line="240" w:lineRule="auto"/>
        <w:rPr>
          <w:i/>
        </w:rPr>
      </w:pPr>
    </w:p>
    <w:p w14:paraId="48EB1761" w14:textId="00F591CF" w:rsidR="00783D6F" w:rsidRPr="00227D01" w:rsidRDefault="003B7676" w:rsidP="003B7676">
      <w:pPr>
        <w:spacing w:after="0" w:line="240" w:lineRule="auto"/>
        <w:rPr>
          <w:rFonts w:ascii="Calibri" w:hAnsi="Calibri" w:cs="Calibri"/>
          <w:i/>
        </w:rPr>
      </w:pPr>
      <w:r w:rsidRPr="00227D01">
        <w:rPr>
          <w:rFonts w:ascii="Calibri" w:hAnsi="Calibri" w:cs="Calibri"/>
          <w:i/>
        </w:rPr>
        <w:t>Výstava vznikla za podpory Ministerstva kultury ČR v rámci p</w:t>
      </w:r>
      <w:r w:rsidRPr="00243525">
        <w:rPr>
          <w:rFonts w:ascii="Calibri" w:hAnsi="Calibri" w:cs="Calibri"/>
          <w:i/>
        </w:rPr>
        <w:t>rojekt</w:t>
      </w:r>
      <w:r w:rsidRPr="00227D01">
        <w:rPr>
          <w:rFonts w:ascii="Calibri" w:hAnsi="Calibri" w:cs="Calibri"/>
          <w:i/>
        </w:rPr>
        <w:t>u</w:t>
      </w:r>
      <w:r w:rsidRPr="00243525">
        <w:rPr>
          <w:rFonts w:ascii="Calibri" w:hAnsi="Calibri" w:cs="Calibri"/>
          <w:i/>
        </w:rPr>
        <w:t xml:space="preserve"> NAKI II </w:t>
      </w:r>
      <w:r w:rsidRPr="00227D01">
        <w:rPr>
          <w:rFonts w:ascii="Calibri" w:hAnsi="Calibri" w:cs="Calibri"/>
          <w:i/>
        </w:rPr>
        <w:t>„</w:t>
      </w:r>
      <w:r w:rsidRPr="00243525">
        <w:rPr>
          <w:rFonts w:ascii="Calibri" w:hAnsi="Calibri" w:cs="Calibri"/>
          <w:i/>
        </w:rPr>
        <w:t xml:space="preserve">Designéři v českých </w:t>
      </w:r>
    </w:p>
    <w:p w14:paraId="3EC4D7D8" w14:textId="7DECBD40" w:rsidR="003B7676" w:rsidRPr="00243525" w:rsidRDefault="003B7676" w:rsidP="003B7676">
      <w:pPr>
        <w:spacing w:after="0" w:line="240" w:lineRule="auto"/>
        <w:rPr>
          <w:rFonts w:ascii="Calibri" w:hAnsi="Calibri" w:cs="Calibri"/>
          <w:i/>
        </w:rPr>
      </w:pPr>
      <w:r w:rsidRPr="00243525">
        <w:rPr>
          <w:rFonts w:ascii="Calibri" w:hAnsi="Calibri" w:cs="Calibri"/>
          <w:i/>
        </w:rPr>
        <w:t>zemích a československý strojírenský průmysl</w:t>
      </w:r>
      <w:r w:rsidRPr="00227D01">
        <w:rPr>
          <w:rFonts w:ascii="Calibri" w:hAnsi="Calibri" w:cs="Calibri"/>
          <w:i/>
        </w:rPr>
        <w:t>.“</w:t>
      </w:r>
    </w:p>
    <w:p w14:paraId="42FDA993" w14:textId="77777777" w:rsidR="003B7676" w:rsidRPr="003B7676" w:rsidRDefault="003B7676" w:rsidP="00243525">
      <w:pPr>
        <w:spacing w:after="0" w:line="240" w:lineRule="auto"/>
        <w:rPr>
          <w:rFonts w:cstheme="minorHAnsi"/>
          <w:b/>
          <w:i/>
        </w:rPr>
      </w:pPr>
    </w:p>
    <w:p w14:paraId="186A3D78" w14:textId="77777777" w:rsidR="003B7676" w:rsidRPr="003B7676" w:rsidRDefault="003B7676" w:rsidP="003B7676">
      <w:pPr>
        <w:spacing w:after="0"/>
        <w:jc w:val="both"/>
        <w:rPr>
          <w:b/>
          <w:sz w:val="24"/>
          <w:szCs w:val="24"/>
        </w:rPr>
      </w:pPr>
    </w:p>
    <w:p w14:paraId="280D569E" w14:textId="185F3B14" w:rsidR="00243525" w:rsidRPr="00243525" w:rsidRDefault="00243525" w:rsidP="003B7676">
      <w:pPr>
        <w:spacing w:after="0"/>
        <w:jc w:val="both"/>
        <w:rPr>
          <w:rFonts w:ascii="Calibri" w:hAnsi="Calibri" w:cs="Calibri"/>
          <w:b/>
        </w:rPr>
      </w:pPr>
      <w:r w:rsidRPr="00243525">
        <w:rPr>
          <w:rFonts w:ascii="Calibri" w:hAnsi="Calibri" w:cs="Calibri"/>
          <w:b/>
        </w:rPr>
        <w:t>Výs</w:t>
      </w:r>
      <w:r w:rsidR="003B7676" w:rsidRPr="00227D01">
        <w:rPr>
          <w:rFonts w:ascii="Calibri" w:hAnsi="Calibri" w:cs="Calibri"/>
          <w:b/>
        </w:rPr>
        <w:t xml:space="preserve">tava potrvá </w:t>
      </w:r>
      <w:r w:rsidRPr="00243525">
        <w:rPr>
          <w:rFonts w:ascii="Calibri" w:hAnsi="Calibri" w:cs="Calibri"/>
          <w:b/>
        </w:rPr>
        <w:t>od 26. října 2022 do 30. dubna 2023.</w:t>
      </w:r>
    </w:p>
    <w:p w14:paraId="22C0A6E5" w14:textId="77777777" w:rsidR="00243525" w:rsidRPr="00243525" w:rsidRDefault="00243525" w:rsidP="003B7676">
      <w:pPr>
        <w:spacing w:after="0"/>
        <w:jc w:val="both"/>
        <w:rPr>
          <w:rFonts w:ascii="Calibri" w:hAnsi="Calibri" w:cs="Calibri"/>
          <w:b/>
        </w:rPr>
      </w:pPr>
      <w:r w:rsidRPr="00243525">
        <w:rPr>
          <w:rFonts w:ascii="Calibri" w:hAnsi="Calibri" w:cs="Calibri"/>
          <w:b/>
        </w:rPr>
        <w:t xml:space="preserve"> </w:t>
      </w:r>
    </w:p>
    <w:p w14:paraId="659D6D3F" w14:textId="7BE51863" w:rsidR="00C2413E" w:rsidRPr="00227D01" w:rsidRDefault="00C2413E" w:rsidP="0079774A">
      <w:pPr>
        <w:spacing w:after="0"/>
        <w:jc w:val="both"/>
        <w:rPr>
          <w:rFonts w:ascii="Calibri" w:hAnsi="Calibri" w:cs="Calibri"/>
          <w:b/>
        </w:rPr>
      </w:pPr>
      <w:r w:rsidRPr="00227D01">
        <w:rPr>
          <w:rFonts w:ascii="Calibri" w:hAnsi="Calibri" w:cs="Calibri"/>
          <w:b/>
        </w:rPr>
        <w:t>Tisková zpráva</w:t>
      </w:r>
      <w:r w:rsidR="00D105E2" w:rsidRPr="00227D01">
        <w:rPr>
          <w:rFonts w:ascii="Calibri" w:hAnsi="Calibri" w:cs="Calibri"/>
          <w:b/>
        </w:rPr>
        <w:t xml:space="preserve"> </w:t>
      </w:r>
      <w:r w:rsidR="00243525" w:rsidRPr="00227D01">
        <w:rPr>
          <w:rFonts w:ascii="Calibri" w:hAnsi="Calibri" w:cs="Calibri"/>
          <w:b/>
        </w:rPr>
        <w:t xml:space="preserve">25. 10. </w:t>
      </w:r>
      <w:r w:rsidR="00BD4CF8" w:rsidRPr="00227D01">
        <w:rPr>
          <w:rFonts w:ascii="Calibri" w:hAnsi="Calibri" w:cs="Calibri"/>
          <w:b/>
        </w:rPr>
        <w:t>2022</w:t>
      </w:r>
    </w:p>
    <w:p w14:paraId="5FB01898" w14:textId="77777777" w:rsidR="0079774A" w:rsidRDefault="0079774A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613C195" w14:textId="47940370" w:rsidR="001F6F32" w:rsidRDefault="007B716C" w:rsidP="00D103A5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Vedoucí </w:t>
      </w:r>
      <w:r w:rsidR="008631B4">
        <w:rPr>
          <w:rFonts w:ascii="Times New Roman" w:hAnsi="Times New Roman" w:cs="Times New Roman"/>
          <w:i/>
          <w:color w:val="333333"/>
          <w:sz w:val="24"/>
          <w:szCs w:val="24"/>
        </w:rPr>
        <w:t>oddělení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 w:rsidR="00610B0A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Kostelní 42, 170 </w:t>
      </w:r>
      <w:proofErr w:type="gramStart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00  Praha</w:t>
      </w:r>
      <w:proofErr w:type="gramEnd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7</w:t>
      </w:r>
    </w:p>
    <w:p w14:paraId="2920E044" w14:textId="6D48684B" w:rsidR="002C596B" w:rsidRDefault="002C596B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0DD5EC0D" w14:textId="0B6DD6B4" w:rsidR="002C596B" w:rsidRPr="004F7713" w:rsidRDefault="002C596B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2C596B" w:rsidRPr="004F77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CE0EA" w14:textId="77777777" w:rsidR="0078566D" w:rsidRDefault="0078566D" w:rsidP="007B716C">
      <w:pPr>
        <w:spacing w:after="0" w:line="240" w:lineRule="auto"/>
      </w:pPr>
      <w:r>
        <w:separator/>
      </w:r>
    </w:p>
  </w:endnote>
  <w:endnote w:type="continuationSeparator" w:id="0">
    <w:p w14:paraId="7B79BD0B" w14:textId="77777777" w:rsidR="0078566D" w:rsidRDefault="0078566D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D25A8" w14:textId="77777777" w:rsidR="0078566D" w:rsidRDefault="0078566D" w:rsidP="007B716C">
      <w:pPr>
        <w:spacing w:after="0" w:line="240" w:lineRule="auto"/>
      </w:pPr>
      <w:r>
        <w:separator/>
      </w:r>
    </w:p>
  </w:footnote>
  <w:footnote w:type="continuationSeparator" w:id="0">
    <w:p w14:paraId="4A852B11" w14:textId="77777777" w:rsidR="0078566D" w:rsidRDefault="0078566D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204E2"/>
    <w:rsid w:val="0002103B"/>
    <w:rsid w:val="00032975"/>
    <w:rsid w:val="000364E9"/>
    <w:rsid w:val="0005488F"/>
    <w:rsid w:val="00084195"/>
    <w:rsid w:val="00086675"/>
    <w:rsid w:val="00092C33"/>
    <w:rsid w:val="000936A5"/>
    <w:rsid w:val="000A0FC9"/>
    <w:rsid w:val="000A12DB"/>
    <w:rsid w:val="000A505E"/>
    <w:rsid w:val="000A614B"/>
    <w:rsid w:val="000B681F"/>
    <w:rsid w:val="000C4016"/>
    <w:rsid w:val="000D5766"/>
    <w:rsid w:val="000D58FB"/>
    <w:rsid w:val="000E6931"/>
    <w:rsid w:val="000F6750"/>
    <w:rsid w:val="00101818"/>
    <w:rsid w:val="00101B9B"/>
    <w:rsid w:val="0010314B"/>
    <w:rsid w:val="001133A2"/>
    <w:rsid w:val="00126724"/>
    <w:rsid w:val="00140ED7"/>
    <w:rsid w:val="00144FEB"/>
    <w:rsid w:val="00165C1E"/>
    <w:rsid w:val="00167959"/>
    <w:rsid w:val="001871DC"/>
    <w:rsid w:val="001935A4"/>
    <w:rsid w:val="00195A36"/>
    <w:rsid w:val="00197B39"/>
    <w:rsid w:val="001B628F"/>
    <w:rsid w:val="001C4E9F"/>
    <w:rsid w:val="001D16AA"/>
    <w:rsid w:val="001D2076"/>
    <w:rsid w:val="001E434B"/>
    <w:rsid w:val="001E5B0F"/>
    <w:rsid w:val="001F26B8"/>
    <w:rsid w:val="00227D01"/>
    <w:rsid w:val="00233BC1"/>
    <w:rsid w:val="00243525"/>
    <w:rsid w:val="002456BA"/>
    <w:rsid w:val="00247DEA"/>
    <w:rsid w:val="00257DF7"/>
    <w:rsid w:val="002605C0"/>
    <w:rsid w:val="00261ED4"/>
    <w:rsid w:val="00274D0F"/>
    <w:rsid w:val="002936B0"/>
    <w:rsid w:val="002A1F51"/>
    <w:rsid w:val="002A2978"/>
    <w:rsid w:val="002B60F8"/>
    <w:rsid w:val="002C596B"/>
    <w:rsid w:val="002D2B3A"/>
    <w:rsid w:val="002E1737"/>
    <w:rsid w:val="002E5F89"/>
    <w:rsid w:val="00312CB7"/>
    <w:rsid w:val="00315319"/>
    <w:rsid w:val="0032656B"/>
    <w:rsid w:val="00326891"/>
    <w:rsid w:val="003334A1"/>
    <w:rsid w:val="003679E3"/>
    <w:rsid w:val="00380EEB"/>
    <w:rsid w:val="00382C20"/>
    <w:rsid w:val="003A02DC"/>
    <w:rsid w:val="003A2CC7"/>
    <w:rsid w:val="003B2A0D"/>
    <w:rsid w:val="003B61F9"/>
    <w:rsid w:val="003B7676"/>
    <w:rsid w:val="003E0349"/>
    <w:rsid w:val="003E0431"/>
    <w:rsid w:val="003E0DC9"/>
    <w:rsid w:val="003E16DA"/>
    <w:rsid w:val="003E1816"/>
    <w:rsid w:val="003E35CA"/>
    <w:rsid w:val="00400186"/>
    <w:rsid w:val="004011A6"/>
    <w:rsid w:val="004228AF"/>
    <w:rsid w:val="004246F3"/>
    <w:rsid w:val="004333C9"/>
    <w:rsid w:val="00433840"/>
    <w:rsid w:val="00441D5D"/>
    <w:rsid w:val="004524F5"/>
    <w:rsid w:val="00460918"/>
    <w:rsid w:val="00460B09"/>
    <w:rsid w:val="004662B1"/>
    <w:rsid w:val="00471FEE"/>
    <w:rsid w:val="0047215F"/>
    <w:rsid w:val="004A64BC"/>
    <w:rsid w:val="004B79EE"/>
    <w:rsid w:val="004C3F96"/>
    <w:rsid w:val="004F0A67"/>
    <w:rsid w:val="004F605C"/>
    <w:rsid w:val="004F6E38"/>
    <w:rsid w:val="004F7713"/>
    <w:rsid w:val="00511DDF"/>
    <w:rsid w:val="005234DD"/>
    <w:rsid w:val="005307AD"/>
    <w:rsid w:val="0053748E"/>
    <w:rsid w:val="00541C71"/>
    <w:rsid w:val="00541D9A"/>
    <w:rsid w:val="00543D38"/>
    <w:rsid w:val="0056564F"/>
    <w:rsid w:val="00575C17"/>
    <w:rsid w:val="00595BCB"/>
    <w:rsid w:val="00595F6D"/>
    <w:rsid w:val="005A365A"/>
    <w:rsid w:val="005A4C87"/>
    <w:rsid w:val="005A6881"/>
    <w:rsid w:val="005C6982"/>
    <w:rsid w:val="005D63E3"/>
    <w:rsid w:val="005E22DB"/>
    <w:rsid w:val="005E7736"/>
    <w:rsid w:val="00603926"/>
    <w:rsid w:val="00603BF1"/>
    <w:rsid w:val="00610B0A"/>
    <w:rsid w:val="00631591"/>
    <w:rsid w:val="00633C14"/>
    <w:rsid w:val="00641FF7"/>
    <w:rsid w:val="00643B38"/>
    <w:rsid w:val="00652A50"/>
    <w:rsid w:val="00670D2D"/>
    <w:rsid w:val="006710E2"/>
    <w:rsid w:val="006A1CCF"/>
    <w:rsid w:val="006B0D35"/>
    <w:rsid w:val="006B3F53"/>
    <w:rsid w:val="006B4062"/>
    <w:rsid w:val="006D0E19"/>
    <w:rsid w:val="006D6139"/>
    <w:rsid w:val="006D694E"/>
    <w:rsid w:val="006F2247"/>
    <w:rsid w:val="006F41F9"/>
    <w:rsid w:val="00702B25"/>
    <w:rsid w:val="00703305"/>
    <w:rsid w:val="00710C18"/>
    <w:rsid w:val="00717247"/>
    <w:rsid w:val="00732819"/>
    <w:rsid w:val="0074118D"/>
    <w:rsid w:val="00745F9E"/>
    <w:rsid w:val="00746EF6"/>
    <w:rsid w:val="007654EF"/>
    <w:rsid w:val="0076779A"/>
    <w:rsid w:val="00767823"/>
    <w:rsid w:val="007728BD"/>
    <w:rsid w:val="0077345A"/>
    <w:rsid w:val="0077610E"/>
    <w:rsid w:val="00776CBD"/>
    <w:rsid w:val="00783D6F"/>
    <w:rsid w:val="0078566D"/>
    <w:rsid w:val="007975E3"/>
    <w:rsid w:val="0079774A"/>
    <w:rsid w:val="007B716C"/>
    <w:rsid w:val="007C6EF5"/>
    <w:rsid w:val="007D27F7"/>
    <w:rsid w:val="007D3E68"/>
    <w:rsid w:val="007E33DF"/>
    <w:rsid w:val="007F3944"/>
    <w:rsid w:val="00814A63"/>
    <w:rsid w:val="00824757"/>
    <w:rsid w:val="00827240"/>
    <w:rsid w:val="00836CD3"/>
    <w:rsid w:val="00846DEA"/>
    <w:rsid w:val="00850F8E"/>
    <w:rsid w:val="008519CC"/>
    <w:rsid w:val="00852336"/>
    <w:rsid w:val="008631B4"/>
    <w:rsid w:val="00865892"/>
    <w:rsid w:val="0087089C"/>
    <w:rsid w:val="008749C5"/>
    <w:rsid w:val="008758E9"/>
    <w:rsid w:val="008914CC"/>
    <w:rsid w:val="00892429"/>
    <w:rsid w:val="00892563"/>
    <w:rsid w:val="008A550E"/>
    <w:rsid w:val="008A7440"/>
    <w:rsid w:val="008A7A4C"/>
    <w:rsid w:val="008C32F9"/>
    <w:rsid w:val="008D340E"/>
    <w:rsid w:val="008E32D6"/>
    <w:rsid w:val="008E6DB8"/>
    <w:rsid w:val="008F57D8"/>
    <w:rsid w:val="00910CDF"/>
    <w:rsid w:val="00920667"/>
    <w:rsid w:val="00930F94"/>
    <w:rsid w:val="0094312E"/>
    <w:rsid w:val="00944A5E"/>
    <w:rsid w:val="0097407D"/>
    <w:rsid w:val="00981610"/>
    <w:rsid w:val="0099500B"/>
    <w:rsid w:val="00995B87"/>
    <w:rsid w:val="009A4FAF"/>
    <w:rsid w:val="009C23C0"/>
    <w:rsid w:val="009C55C5"/>
    <w:rsid w:val="009C7869"/>
    <w:rsid w:val="009E0E77"/>
    <w:rsid w:val="009E59F3"/>
    <w:rsid w:val="009E66C3"/>
    <w:rsid w:val="009E7188"/>
    <w:rsid w:val="00A11A86"/>
    <w:rsid w:val="00A15A8E"/>
    <w:rsid w:val="00A26C38"/>
    <w:rsid w:val="00A652E8"/>
    <w:rsid w:val="00A7533A"/>
    <w:rsid w:val="00A800EB"/>
    <w:rsid w:val="00A81183"/>
    <w:rsid w:val="00A94DCC"/>
    <w:rsid w:val="00A97356"/>
    <w:rsid w:val="00AB074D"/>
    <w:rsid w:val="00AB5083"/>
    <w:rsid w:val="00AC096B"/>
    <w:rsid w:val="00AC5FD6"/>
    <w:rsid w:val="00AD45BF"/>
    <w:rsid w:val="00AE1A52"/>
    <w:rsid w:val="00AE371B"/>
    <w:rsid w:val="00AF391C"/>
    <w:rsid w:val="00AF4920"/>
    <w:rsid w:val="00AF4A70"/>
    <w:rsid w:val="00AF6E34"/>
    <w:rsid w:val="00B0547E"/>
    <w:rsid w:val="00B30C07"/>
    <w:rsid w:val="00B57876"/>
    <w:rsid w:val="00B651AF"/>
    <w:rsid w:val="00B71734"/>
    <w:rsid w:val="00B760DA"/>
    <w:rsid w:val="00B77BB5"/>
    <w:rsid w:val="00B86446"/>
    <w:rsid w:val="00B86CA7"/>
    <w:rsid w:val="00B92609"/>
    <w:rsid w:val="00B92D80"/>
    <w:rsid w:val="00B94192"/>
    <w:rsid w:val="00BB280C"/>
    <w:rsid w:val="00BC2962"/>
    <w:rsid w:val="00BC56EC"/>
    <w:rsid w:val="00BD4CF8"/>
    <w:rsid w:val="00BD7FE4"/>
    <w:rsid w:val="00BF15D2"/>
    <w:rsid w:val="00BF479F"/>
    <w:rsid w:val="00BF575A"/>
    <w:rsid w:val="00BF59E9"/>
    <w:rsid w:val="00C00167"/>
    <w:rsid w:val="00C053D9"/>
    <w:rsid w:val="00C2413E"/>
    <w:rsid w:val="00C439E3"/>
    <w:rsid w:val="00C81D15"/>
    <w:rsid w:val="00C84632"/>
    <w:rsid w:val="00C86910"/>
    <w:rsid w:val="00C87193"/>
    <w:rsid w:val="00CA4C05"/>
    <w:rsid w:val="00CD0130"/>
    <w:rsid w:val="00CD6D7B"/>
    <w:rsid w:val="00CE171E"/>
    <w:rsid w:val="00CF4EBD"/>
    <w:rsid w:val="00D00229"/>
    <w:rsid w:val="00D0508D"/>
    <w:rsid w:val="00D076AE"/>
    <w:rsid w:val="00D103A5"/>
    <w:rsid w:val="00D105E2"/>
    <w:rsid w:val="00D1733F"/>
    <w:rsid w:val="00D21BF8"/>
    <w:rsid w:val="00D2227B"/>
    <w:rsid w:val="00D2559D"/>
    <w:rsid w:val="00D25F35"/>
    <w:rsid w:val="00D52A3B"/>
    <w:rsid w:val="00D56651"/>
    <w:rsid w:val="00D70F24"/>
    <w:rsid w:val="00D719CE"/>
    <w:rsid w:val="00D77B1B"/>
    <w:rsid w:val="00D96744"/>
    <w:rsid w:val="00DA24B0"/>
    <w:rsid w:val="00DB11BE"/>
    <w:rsid w:val="00DB29B2"/>
    <w:rsid w:val="00DC3898"/>
    <w:rsid w:val="00DD3E08"/>
    <w:rsid w:val="00DF0E7F"/>
    <w:rsid w:val="00DF2DC3"/>
    <w:rsid w:val="00DF4BA5"/>
    <w:rsid w:val="00E04DA3"/>
    <w:rsid w:val="00E123B6"/>
    <w:rsid w:val="00E126B7"/>
    <w:rsid w:val="00E202FC"/>
    <w:rsid w:val="00E31F83"/>
    <w:rsid w:val="00E529A9"/>
    <w:rsid w:val="00E63144"/>
    <w:rsid w:val="00E670B0"/>
    <w:rsid w:val="00E67D51"/>
    <w:rsid w:val="00E70398"/>
    <w:rsid w:val="00E71782"/>
    <w:rsid w:val="00E816F4"/>
    <w:rsid w:val="00E97233"/>
    <w:rsid w:val="00EA0936"/>
    <w:rsid w:val="00EB4AB1"/>
    <w:rsid w:val="00EC1559"/>
    <w:rsid w:val="00EF6AE0"/>
    <w:rsid w:val="00EF7DF7"/>
    <w:rsid w:val="00F00A9A"/>
    <w:rsid w:val="00F02048"/>
    <w:rsid w:val="00F072DC"/>
    <w:rsid w:val="00F10D1A"/>
    <w:rsid w:val="00F2181D"/>
    <w:rsid w:val="00F30D51"/>
    <w:rsid w:val="00F42D88"/>
    <w:rsid w:val="00F44403"/>
    <w:rsid w:val="00F6709C"/>
    <w:rsid w:val="00F67BD8"/>
    <w:rsid w:val="00F74633"/>
    <w:rsid w:val="00F76EA9"/>
    <w:rsid w:val="00F77A4A"/>
    <w:rsid w:val="00F830D1"/>
    <w:rsid w:val="00F94B78"/>
    <w:rsid w:val="00F96555"/>
    <w:rsid w:val="00FB63B9"/>
    <w:rsid w:val="00FB75CE"/>
    <w:rsid w:val="00FC4BDF"/>
    <w:rsid w:val="00FC5419"/>
    <w:rsid w:val="00FD66E6"/>
    <w:rsid w:val="00FE0A40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EF60-26A9-4113-A1BA-CF5A92DF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2021-10-12T09:04:00Z</cp:lastPrinted>
  <dcterms:created xsi:type="dcterms:W3CDTF">2022-10-25T08:17:00Z</dcterms:created>
  <dcterms:modified xsi:type="dcterms:W3CDTF">2022-10-25T08:17:00Z</dcterms:modified>
</cp:coreProperties>
</file>